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CAB660" w14:textId="77777777" w:rsidR="00834EF2" w:rsidRDefault="00834EF2" w:rsidP="00BA2388"/>
    <w:p w14:paraId="5038A2A2" w14:textId="77777777" w:rsidR="00834EF2" w:rsidRDefault="00834EF2" w:rsidP="00BA2388"/>
    <w:p w14:paraId="5BE65DCF" w14:textId="77777777" w:rsidR="00237C8C" w:rsidRDefault="00237C8C" w:rsidP="00BA2388"/>
    <w:p w14:paraId="6D47216E" w14:textId="250D7661" w:rsidR="00834EF2" w:rsidRPr="00200782" w:rsidRDefault="00545C49" w:rsidP="00200782">
      <w:pPr>
        <w:jc w:val="center"/>
        <w:rPr>
          <w:rFonts w:ascii="Arial Nova" w:hAnsi="Arial Nova"/>
          <w:sz w:val="28"/>
          <w:szCs w:val="28"/>
        </w:rPr>
      </w:pPr>
      <w:r w:rsidRPr="00200782">
        <w:rPr>
          <w:rFonts w:ascii="Arial Nova" w:hAnsi="Arial Nova"/>
          <w:sz w:val="28"/>
          <w:szCs w:val="28"/>
        </w:rPr>
        <w:t>Le passé d’une illusion</w:t>
      </w:r>
    </w:p>
    <w:p w14:paraId="6D9A4F84" w14:textId="250717A4" w:rsidR="00D004E0" w:rsidRPr="00DF0AB0" w:rsidRDefault="00D004E0" w:rsidP="00200782">
      <w:pPr>
        <w:jc w:val="center"/>
        <w:rPr>
          <w:i/>
          <w:iCs/>
        </w:rPr>
      </w:pPr>
      <w:r w:rsidRPr="00DF0AB0">
        <w:rPr>
          <w:rFonts w:ascii="Arial Nova" w:hAnsi="Arial Nova"/>
          <w:i/>
          <w:iCs/>
          <w:sz w:val="28"/>
          <w:szCs w:val="28"/>
        </w:rPr>
        <w:t xml:space="preserve">Que l’inclusif </w:t>
      </w:r>
      <w:r w:rsidR="00710B9E" w:rsidRPr="00DF0AB0">
        <w:rPr>
          <w:rFonts w:ascii="Arial Nova" w:hAnsi="Arial Nova"/>
          <w:i/>
          <w:iCs/>
          <w:sz w:val="28"/>
          <w:szCs w:val="28"/>
        </w:rPr>
        <w:t>ne vaut pas reconnaissance de dignité</w:t>
      </w:r>
    </w:p>
    <w:p w14:paraId="77D45A66" w14:textId="77777777" w:rsidR="00DF0AB0" w:rsidRDefault="00DF0AB0" w:rsidP="00BA2388"/>
    <w:p w14:paraId="212844BE" w14:textId="4EA1727A" w:rsidR="00CE25E5" w:rsidRPr="00C53604" w:rsidRDefault="00D97F5C" w:rsidP="00C53604">
      <w:pPr>
        <w:jc w:val="right"/>
        <w:rPr>
          <w:sz w:val="20"/>
          <w:szCs w:val="20"/>
        </w:rPr>
      </w:pPr>
      <w:r w:rsidRPr="00C53604">
        <w:rPr>
          <w:sz w:val="20"/>
          <w:szCs w:val="20"/>
        </w:rPr>
        <w:t>Yves Bruchon</w:t>
      </w:r>
      <w:r w:rsidR="00823098">
        <w:rPr>
          <w:sz w:val="20"/>
          <w:szCs w:val="20"/>
        </w:rPr>
        <w:t xml:space="preserve"> </w:t>
      </w:r>
      <w:r w:rsidR="00CE25E5" w:rsidRPr="00C53604">
        <w:rPr>
          <w:sz w:val="20"/>
          <w:szCs w:val="20"/>
        </w:rPr>
        <w:t>(Mars 2025</w:t>
      </w:r>
      <w:r w:rsidR="00C53604" w:rsidRPr="00C53604">
        <w:rPr>
          <w:sz w:val="20"/>
          <w:szCs w:val="20"/>
        </w:rPr>
        <w:t>)</w:t>
      </w:r>
    </w:p>
    <w:p w14:paraId="6D77AE64" w14:textId="77777777" w:rsidR="009C0EAE" w:rsidRDefault="009C0EAE" w:rsidP="00BA2388"/>
    <w:p w14:paraId="07E52203" w14:textId="611B401E" w:rsidR="00242FE4" w:rsidRDefault="00CD028B" w:rsidP="00BA2388">
      <w:r>
        <w:t xml:space="preserve">Il y a vingt ans </w:t>
      </w:r>
      <w:r w:rsidR="002857DA">
        <w:t xml:space="preserve">qu’une loi </w:t>
      </w:r>
      <w:r w:rsidR="00442F5C">
        <w:t>« </w:t>
      </w:r>
      <w:r w:rsidR="00442F5C" w:rsidRPr="00442F5C">
        <w:t>pour l'égalité des droits et des chances, la participation et la citoyenneté des personnes handicapées</w:t>
      </w:r>
      <w:r w:rsidR="00442F5C">
        <w:t> »</w:t>
      </w:r>
      <w:r w:rsidR="002618C6">
        <w:t xml:space="preserve"> était promulguée</w:t>
      </w:r>
      <w:r w:rsidR="00B735F2">
        <w:t xml:space="preserve"> dont l’un des effets </w:t>
      </w:r>
      <w:r w:rsidR="00422A6B">
        <w:t xml:space="preserve">a été </w:t>
      </w:r>
      <w:r w:rsidR="00675619">
        <w:t xml:space="preserve">de </w:t>
      </w:r>
      <w:r w:rsidR="00EB4417">
        <w:t xml:space="preserve">poser </w:t>
      </w:r>
      <w:r w:rsidR="00AD4F37">
        <w:t>le principe de l’inclusion</w:t>
      </w:r>
      <w:r w:rsidR="005D058B">
        <w:t xml:space="preserve"> plutôt que celui de l</w:t>
      </w:r>
      <w:r w:rsidR="00B11E32">
        <w:t>’intégration et à partir de là</w:t>
      </w:r>
      <w:r w:rsidR="00F70A00">
        <w:t xml:space="preserve"> s’impose </w:t>
      </w:r>
      <w:r w:rsidR="001F6166">
        <w:t>de fait</w:t>
      </w:r>
      <w:r w:rsidR="00E25E1C">
        <w:t xml:space="preserve"> </w:t>
      </w:r>
      <w:r w:rsidR="00D22763">
        <w:t>une pr</w:t>
      </w:r>
      <w:r w:rsidR="003058A1">
        <w:t xml:space="preserve">étendue </w:t>
      </w:r>
      <w:r w:rsidR="00F70A00">
        <w:t>distinction entre inclusion e</w:t>
      </w:r>
      <w:r w:rsidR="00AD5978">
        <w:t xml:space="preserve">t intégration, </w:t>
      </w:r>
      <w:r w:rsidR="00B832BF">
        <w:t xml:space="preserve">distinction pas trop </w:t>
      </w:r>
      <w:r w:rsidR="00AA6624">
        <w:t>réfléchie</w:t>
      </w:r>
      <w:r w:rsidR="00B832BF">
        <w:t xml:space="preserve"> d’a</w:t>
      </w:r>
      <w:r w:rsidR="00AA6624">
        <w:t xml:space="preserve">illeurs, mais distinction </w:t>
      </w:r>
      <w:r w:rsidR="00E70E4C">
        <w:t xml:space="preserve">qu’on peut ainsi </w:t>
      </w:r>
      <w:r w:rsidR="00242FE4">
        <w:t xml:space="preserve">caractériser : </w:t>
      </w:r>
      <w:hyperlink r:id="rId8" w:tgtFrame="_blank" w:history="1">
        <w:r w:rsidR="00242FE4" w:rsidRPr="00641384">
          <w:t>l’inclusion met en lumière la place de plein droit de toutes les personnes dans la société, quelles que soient leurs caractéristiques.</w:t>
        </w:r>
      </w:hyperlink>
      <w:r w:rsidR="007606DA">
        <w:t xml:space="preserve"> </w:t>
      </w:r>
      <w:hyperlink r:id="rId9" w:tgtFrame="_blank" w:history="1">
        <w:r w:rsidR="00242FE4" w:rsidRPr="00242FE4">
          <w:t>L’intégration se concentre sur l’adaptation des individus à un système existant, tandis que l’inclusion vise à créer des environnements où toutes les personnes sont valorisées et respectées.</w:t>
        </w:r>
      </w:hyperlink>
      <w:r w:rsidR="00432D89">
        <w:t xml:space="preserve"> </w:t>
      </w:r>
      <w:hyperlink r:id="rId10" w:tgtFrame="_blank" w:history="1">
        <w:r w:rsidR="00242FE4" w:rsidRPr="00432D89">
          <w:t>Un modèle d’intégration propose à ceux qui ne sont pas dans la “norme” de venir faire partie du groupe, à la condition de se rapprocher au maximum de ce qui constitue la “norme”. Un modèle inclusif, considère tout le monde comme normal.</w:t>
        </w:r>
      </w:hyperlink>
    </w:p>
    <w:p w14:paraId="66E5E35A" w14:textId="6B304461" w:rsidR="004B4A28" w:rsidRDefault="003915B8" w:rsidP="00936DAF">
      <w:r>
        <w:t>D’où il appert</w:t>
      </w:r>
      <w:r w:rsidR="00AB275C">
        <w:t xml:space="preserve"> que </w:t>
      </w:r>
      <w:r w:rsidR="005F2B0F">
        <w:t>"</w:t>
      </w:r>
      <w:r w:rsidR="005C6EFE">
        <w:t>intégration</w:t>
      </w:r>
      <w:r w:rsidR="00954C5B">
        <w:t>"</w:t>
      </w:r>
      <w:r w:rsidR="009620E0">
        <w:t xml:space="preserve"> est </w:t>
      </w:r>
      <w:r w:rsidR="003D6DA0">
        <w:t>vraiment un concept</w:t>
      </w:r>
      <w:r w:rsidR="00954C5B">
        <w:t xml:space="preserve"> en difficulté</w:t>
      </w:r>
      <w:r w:rsidR="002F1BB0">
        <w:t xml:space="preserve"> pour reprendre une expression</w:t>
      </w:r>
      <w:r w:rsidR="009C0A8C">
        <w:t xml:space="preserve"> de</w:t>
      </w:r>
      <w:r w:rsidR="009C371D">
        <w:t xml:space="preserve"> </w:t>
      </w:r>
      <w:hyperlink r:id="rId11" w:history="1">
        <w:r w:rsidR="004B4A28" w:rsidRPr="00936DAF">
          <w:t>Michel Wieviorka</w:t>
        </w:r>
      </w:hyperlink>
      <w:r w:rsidR="00936DAF">
        <w:rPr>
          <w:rStyle w:val="Appelnotedebasdep"/>
        </w:rPr>
        <w:footnoteReference w:id="2"/>
      </w:r>
      <w:r w:rsidR="00072CC7">
        <w:t xml:space="preserve"> alors qu’au contraire on assiste</w:t>
      </w:r>
      <w:r w:rsidR="006464E1">
        <w:t xml:space="preserve"> à une prolifération de références </w:t>
      </w:r>
      <w:r w:rsidR="00100EAD">
        <w:t>à l’inclusif.</w:t>
      </w:r>
    </w:p>
    <w:p w14:paraId="6A992DBE" w14:textId="10496B87" w:rsidR="00100EAD" w:rsidRPr="004B4A28" w:rsidRDefault="00100EAD" w:rsidP="00936DAF">
      <w:r>
        <w:t>Par ailleurs renait le débat</w:t>
      </w:r>
      <w:r w:rsidR="00450672">
        <w:t xml:space="preserve"> sur l’identité avec la double question </w:t>
      </w:r>
      <w:r w:rsidR="0013703C">
        <w:t>de la préférence nationale</w:t>
      </w:r>
      <w:r w:rsidR="00D529AA">
        <w:t xml:space="preserve"> et de la définition de </w:t>
      </w:r>
      <w:r w:rsidR="004373DD">
        <w:t xml:space="preserve">ce que </w:t>
      </w:r>
      <w:r w:rsidR="00202547">
        <w:t>c’</w:t>
      </w:r>
      <w:r w:rsidR="00D529AA">
        <w:t>est qu’être français</w:t>
      </w:r>
      <w:r w:rsidR="005E4E9D">
        <w:t xml:space="preserve">, où l’inclusif </w:t>
      </w:r>
      <w:r w:rsidR="00B27A18">
        <w:t>cède la place à l’exclusif</w:t>
      </w:r>
      <w:r w:rsidR="00276D10">
        <w:t>, sans autre forme de procès.</w:t>
      </w:r>
    </w:p>
    <w:p w14:paraId="12E8B4FA" w14:textId="3FA8D4A4" w:rsidR="008251DC" w:rsidRDefault="008C523B" w:rsidP="00936DAF">
      <w:r>
        <w:t xml:space="preserve">Enfin, on peut s’accorder sur le fait que certains </w:t>
      </w:r>
      <w:r w:rsidR="00BD3476">
        <w:t>(même français !) ont de</w:t>
      </w:r>
      <w:r w:rsidR="00C028F9">
        <w:t>s</w:t>
      </w:r>
      <w:r w:rsidR="00BD3476">
        <w:t xml:space="preserve"> besoins particuliers</w:t>
      </w:r>
      <w:r w:rsidR="00C028F9">
        <w:t xml:space="preserve"> et donc doivent</w:t>
      </w:r>
      <w:r w:rsidR="00C02BEF">
        <w:t xml:space="preserve"> être pris en charge comme tels à l’école, au travail, dans la vie sociale en général.</w:t>
      </w:r>
      <w:r w:rsidR="00C023BE">
        <w:t xml:space="preserve"> Mais, penser en termes de </w:t>
      </w:r>
      <w:r w:rsidR="00A47715">
        <w:t>besoins c’est</w:t>
      </w:r>
      <w:r w:rsidR="00A76CF8">
        <w:t xml:space="preserve"> déjà</w:t>
      </w:r>
      <w:r w:rsidR="00A47715">
        <w:t xml:space="preserve">, avec </w:t>
      </w:r>
      <w:r w:rsidR="007C4EE9">
        <w:t>la meilleure</w:t>
      </w:r>
      <w:r w:rsidR="00A76CF8">
        <w:t xml:space="preserve"> bonne volonté </w:t>
      </w:r>
      <w:r w:rsidR="007C4EE9">
        <w:t>du monde</w:t>
      </w:r>
      <w:r w:rsidR="00CE7DE1">
        <w:t>, réifier certains individus</w:t>
      </w:r>
      <w:r w:rsidR="00C65DC8">
        <w:t xml:space="preserve"> dont le terme même de prise </w:t>
      </w:r>
      <w:r w:rsidR="00382771">
        <w:t>en charge signe la discrimination</w:t>
      </w:r>
      <w:r w:rsidR="00752705">
        <w:t>, même si c’est, par exemple, pour compenser un handicap dûment identifié</w:t>
      </w:r>
      <w:r w:rsidR="008F09A2">
        <w:t>.</w:t>
      </w:r>
    </w:p>
    <w:p w14:paraId="74E95C13" w14:textId="77777777" w:rsidR="005665BA" w:rsidRDefault="005665BA" w:rsidP="00936DAF"/>
    <w:p w14:paraId="69FD276E" w14:textId="22495AB7" w:rsidR="005665BA" w:rsidRDefault="00B66203" w:rsidP="00936DAF">
      <w:r>
        <w:t xml:space="preserve">Ces trois constats, juste pour </w:t>
      </w:r>
      <w:r w:rsidR="00F7683C">
        <w:t>alimenter</w:t>
      </w:r>
      <w:r w:rsidR="0054243B">
        <w:t xml:space="preserve"> un</w:t>
      </w:r>
      <w:r w:rsidR="0017606E">
        <w:t>e</w:t>
      </w:r>
      <w:r w:rsidR="0054243B">
        <w:t xml:space="preserve"> triple interrogation</w:t>
      </w:r>
      <w:r w:rsidR="001A677E">
        <w:t xml:space="preserve"> ou </w:t>
      </w:r>
      <w:r w:rsidR="0017606E">
        <w:t>perplexité</w:t>
      </w:r>
      <w:r w:rsidR="00CC2397">
        <w:t xml:space="preserve"> ou suspicion</w:t>
      </w:r>
      <w:r w:rsidR="0054243B">
        <w:t> :</w:t>
      </w:r>
    </w:p>
    <w:p w14:paraId="248A2BD9" w14:textId="08F6E5DC" w:rsidR="00EC5194" w:rsidRDefault="0085129B" w:rsidP="0085129B">
      <w:r>
        <w:t xml:space="preserve">1) </w:t>
      </w:r>
      <w:r w:rsidR="00C50ABE">
        <w:t>Vouloir</w:t>
      </w:r>
      <w:r w:rsidR="0055128C">
        <w:t xml:space="preserve"> caractériser une société par le devoir d’être inclu</w:t>
      </w:r>
      <w:r w:rsidR="00BF0D09">
        <w:t>sive</w:t>
      </w:r>
      <w:r w:rsidR="00D37541">
        <w:t xml:space="preserve">, ne </w:t>
      </w:r>
      <w:r w:rsidR="0025660B">
        <w:t>cacherait-il</w:t>
      </w:r>
      <w:r w:rsidR="00D37541">
        <w:t xml:space="preserve"> pas le refus </w:t>
      </w:r>
      <w:r w:rsidR="00C752F2">
        <w:t>de la société de penser en termes politiques, au double</w:t>
      </w:r>
      <w:r w:rsidR="003D2CE5">
        <w:t xml:space="preserve"> sens </w:t>
      </w:r>
      <w:r w:rsidR="003D2CE5" w:rsidRPr="0085129B">
        <w:rPr>
          <w:i/>
          <w:iCs/>
        </w:rPr>
        <w:t>du</w:t>
      </w:r>
      <w:r w:rsidR="003D2CE5">
        <w:t xml:space="preserve"> politique et de </w:t>
      </w:r>
      <w:r w:rsidR="003D2CE5" w:rsidRPr="0085129B">
        <w:rPr>
          <w:i/>
          <w:iCs/>
        </w:rPr>
        <w:t>la</w:t>
      </w:r>
      <w:r w:rsidR="003D2CE5">
        <w:t xml:space="preserve"> politique</w:t>
      </w:r>
      <w:r w:rsidR="00642680">
        <w:t xml:space="preserve"> pour n’avoir à décider que de problèmes</w:t>
      </w:r>
      <w:r w:rsidR="002C1E06">
        <w:t xml:space="preserve"> sociaux ou sociétaux ?</w:t>
      </w:r>
    </w:p>
    <w:p w14:paraId="3A0AF6C2" w14:textId="02DCE851" w:rsidR="004173E3" w:rsidRDefault="0016780F" w:rsidP="0085129B">
      <w:r>
        <w:t>2) Ce refus</w:t>
      </w:r>
      <w:r w:rsidR="00F71D66">
        <w:t xml:space="preserve"> pourrait conduire à ne plus pouvoir raisonner qu’en termes d’</w:t>
      </w:r>
      <w:r w:rsidR="00F71D66" w:rsidRPr="00C40662">
        <w:rPr>
          <w:i/>
          <w:iCs/>
        </w:rPr>
        <w:t>identité</w:t>
      </w:r>
      <w:r w:rsidR="00DD4755">
        <w:rPr>
          <w:i/>
          <w:iCs/>
        </w:rPr>
        <w:t> </w:t>
      </w:r>
      <w:r w:rsidR="00DD4755">
        <w:t>; ne peuvent être inclus</w:t>
      </w:r>
      <w:r w:rsidR="008347AF">
        <w:t> / intégrés que ceux qui endo</w:t>
      </w:r>
      <w:r w:rsidR="00B539A2">
        <w:t>ssent, au</w:t>
      </w:r>
      <w:r w:rsidR="00612509">
        <w:t xml:space="preserve"> </w:t>
      </w:r>
      <w:r w:rsidR="00B539A2">
        <w:t>terme d’un parcours balisé</w:t>
      </w:r>
      <w:r w:rsidR="00612509">
        <w:t xml:space="preserve"> et long</w:t>
      </w:r>
      <w:r w:rsidR="00CE67A4">
        <w:t>, qui peut s’étaler sur plusieurs génération</w:t>
      </w:r>
      <w:r w:rsidR="00044F3E">
        <w:t>s, les valeurs et comportements</w:t>
      </w:r>
      <w:r w:rsidR="00A02450">
        <w:t xml:space="preserve"> portés par l’identité dominante (française ou à la rigueur</w:t>
      </w:r>
      <w:r w:rsidR="00C83EFA">
        <w:t xml:space="preserve"> occidentale)</w:t>
      </w:r>
      <w:r w:rsidR="00580E2A">
        <w:t xml:space="preserve"> et donc peuvent être identifi</w:t>
      </w:r>
      <w:r w:rsidR="00421870">
        <w:t>és</w:t>
      </w:r>
      <w:r w:rsidR="00580E2A">
        <w:t xml:space="preserve"> comme </w:t>
      </w:r>
      <w:r w:rsidR="008F69CB">
        <w:t>capables</w:t>
      </w:r>
      <w:r w:rsidR="00580E2A">
        <w:t xml:space="preserve"> d’</w:t>
      </w:r>
      <w:r w:rsidR="008F69CB">
        <w:t>occuper les places qui leur sont assignées</w:t>
      </w:r>
      <w:r w:rsidR="0058266A">
        <w:t xml:space="preserve"> par </w:t>
      </w:r>
      <w:r w:rsidR="004173E3">
        <w:t>la puissance dominante.</w:t>
      </w:r>
    </w:p>
    <w:p w14:paraId="638650D9" w14:textId="151E930B" w:rsidR="006008A3" w:rsidRDefault="00400827" w:rsidP="0085129B">
      <w:r>
        <w:lastRenderedPageBreak/>
        <w:t>3)</w:t>
      </w:r>
      <w:r w:rsidR="005C157D">
        <w:t xml:space="preserve"> </w:t>
      </w:r>
      <w:r w:rsidR="0052029A">
        <w:t xml:space="preserve">Laquelle puissance dominante </w:t>
      </w:r>
      <w:r w:rsidR="00E0312B">
        <w:t>serait</w:t>
      </w:r>
      <w:r w:rsidR="00BB1EE5">
        <w:t xml:space="preserve"> dominante par, justement,</w:t>
      </w:r>
      <w:r w:rsidR="00394412">
        <w:t xml:space="preserve"> sa capacité à fonctionner </w:t>
      </w:r>
      <w:r w:rsidR="00336CF2">
        <w:t>comme domination de type coloniale</w:t>
      </w:r>
      <w:r w:rsidR="00643268">
        <w:t xml:space="preserve"> qui à la fois </w:t>
      </w:r>
      <w:r w:rsidR="00F70175">
        <w:t xml:space="preserve">assure la domination de ceux qui en </w:t>
      </w:r>
      <w:r w:rsidR="00956498">
        <w:t xml:space="preserve">ont </w:t>
      </w:r>
      <w:r w:rsidR="00F70175">
        <w:t>le droit</w:t>
      </w:r>
      <w:r w:rsidR="003A3B0C">
        <w:t>, d’être dominants, mais aussi peut</w:t>
      </w:r>
      <w:r w:rsidR="00F67390">
        <w:t xml:space="preserve"> s’occuper des </w:t>
      </w:r>
      <w:r w:rsidR="002C6FB8">
        <w:t>"</w:t>
      </w:r>
      <w:r w:rsidR="00F67390">
        <w:t>défavorisés</w:t>
      </w:r>
      <w:r w:rsidR="002C6FB8">
        <w:t>",</w:t>
      </w:r>
      <w:r w:rsidR="00F67390">
        <w:t xml:space="preserve"> comme </w:t>
      </w:r>
      <w:r w:rsidR="002C6FB8">
        <w:t>ils</w:t>
      </w:r>
      <w:r w:rsidR="00F67390">
        <w:t xml:space="preserve"> disent</w:t>
      </w:r>
      <w:r w:rsidR="002C6FB8">
        <w:t xml:space="preserve">, </w:t>
      </w:r>
      <w:r w:rsidR="00855AAE">
        <w:t>non pas bien sûr par solidarité</w:t>
      </w:r>
      <w:r w:rsidR="00CF4A40">
        <w:t xml:space="preserve">, mais pas charité et achat de paix </w:t>
      </w:r>
      <w:r w:rsidR="00AD4589">
        <w:t>sociale</w:t>
      </w:r>
      <w:r w:rsidR="00CF4A40">
        <w:t>.</w:t>
      </w:r>
    </w:p>
    <w:p w14:paraId="32640316" w14:textId="77777777" w:rsidR="00AD4589" w:rsidRDefault="00AD4589" w:rsidP="0085129B"/>
    <w:p w14:paraId="5146546C" w14:textId="7127B039" w:rsidR="00CF0FC8" w:rsidRDefault="00CF0FC8" w:rsidP="0085129B">
      <w:r>
        <w:t xml:space="preserve">Ce que nous allons </w:t>
      </w:r>
      <w:r w:rsidR="00496199">
        <w:t>essayer d’établir</w:t>
      </w:r>
      <w:r w:rsidR="00A24963">
        <w:t>, c’est que le recours à des notio</w:t>
      </w:r>
      <w:r w:rsidR="00654DE5">
        <w:t>ns comme inclusion, voire intégration</w:t>
      </w:r>
      <w:r w:rsidR="00237536">
        <w:t xml:space="preserve">, si elles peuvent </w:t>
      </w:r>
      <w:r w:rsidR="00500994">
        <w:t xml:space="preserve">permettre de penser en termes de diversité, </w:t>
      </w:r>
      <w:r w:rsidR="00993466">
        <w:t xml:space="preserve">de pluriculturalisme comme positivité, voire </w:t>
      </w:r>
      <w:r w:rsidR="003A1B33">
        <w:t>de</w:t>
      </w:r>
      <w:r w:rsidR="00993466">
        <w:t xml:space="preserve"> métissage</w:t>
      </w:r>
      <w:r w:rsidR="0061492B">
        <w:t xml:space="preserve">, </w:t>
      </w:r>
      <w:r w:rsidR="003A1B33">
        <w:t xml:space="preserve">etc., </w:t>
      </w:r>
      <w:r w:rsidR="007C376E">
        <w:t xml:space="preserve">empêche, </w:t>
      </w:r>
      <w:r w:rsidR="00503F9A">
        <w:t>en revanche</w:t>
      </w:r>
      <w:r w:rsidR="007C376E">
        <w:t>,</w:t>
      </w:r>
      <w:r w:rsidR="0084621A">
        <w:t xml:space="preserve"> </w:t>
      </w:r>
      <w:r w:rsidR="002E3185">
        <w:t xml:space="preserve">de penser </w:t>
      </w:r>
      <w:r w:rsidR="008E5C6B">
        <w:t xml:space="preserve">à ce qui pourrait être de l’ordre </w:t>
      </w:r>
      <w:r w:rsidR="00BA5913">
        <w:t xml:space="preserve">d’une </w:t>
      </w:r>
      <w:r w:rsidR="00BA5913" w:rsidRPr="0088050E">
        <w:rPr>
          <w:i/>
          <w:iCs/>
        </w:rPr>
        <w:t>émancipation</w:t>
      </w:r>
      <w:r w:rsidR="00736333">
        <w:t> </w:t>
      </w:r>
      <w:r w:rsidR="00736333">
        <w:noBreakHyphen/>
      </w:r>
      <w:r w:rsidR="0088050E">
        <w:noBreakHyphen/>
        <w:t> </w:t>
      </w:r>
      <w:r w:rsidR="00286F4A">
        <w:t xml:space="preserve">comme prise de </w:t>
      </w:r>
      <w:r w:rsidR="00736333">
        <w:t>parti politique</w:t>
      </w:r>
      <w:r w:rsidR="0084621A">
        <w:t>.</w:t>
      </w:r>
      <w:r w:rsidR="00654DE5">
        <w:t xml:space="preserve"> </w:t>
      </w:r>
    </w:p>
    <w:p w14:paraId="32F83A2E" w14:textId="1C8938FD" w:rsidR="00EA5D0B" w:rsidRPr="007179AC" w:rsidRDefault="00B01065" w:rsidP="007179AC">
      <w:pPr>
        <w:pStyle w:val="Titre1"/>
      </w:pPr>
      <w:r w:rsidRPr="007179AC">
        <w:t>Monde commun et natalité</w:t>
      </w:r>
    </w:p>
    <w:p w14:paraId="755924F8" w14:textId="4F960F49" w:rsidR="00FC5125" w:rsidRPr="0024442C" w:rsidRDefault="00AE15F0" w:rsidP="0024442C">
      <w:pPr>
        <w:pStyle w:val="Titre2"/>
      </w:pPr>
      <w:r w:rsidRPr="0024442C">
        <w:t>N</w:t>
      </w:r>
      <w:r w:rsidR="00134794" w:rsidRPr="0024442C">
        <w:t>atalité</w:t>
      </w:r>
    </w:p>
    <w:p w14:paraId="6E2C970D" w14:textId="19716062" w:rsidR="00B11534" w:rsidRDefault="0061664F" w:rsidP="006B6DB0">
      <w:r>
        <w:t>Qu’en est-il, pour le monde ou, plus simplement pour une entité sociale-historique</w:t>
      </w:r>
      <w:r>
        <w:rPr>
          <w:rStyle w:val="Appelnotedebasdep"/>
        </w:rPr>
        <w:footnoteReference w:id="3"/>
      </w:r>
      <w:r w:rsidR="00F60284">
        <w:t xml:space="preserve"> </w:t>
      </w:r>
      <w:r>
        <w:t xml:space="preserve">de ce </w:t>
      </w:r>
      <w:r w:rsidR="008B32BD">
        <w:t xml:space="preserve">« flot </w:t>
      </w:r>
      <w:r w:rsidR="004C25A5">
        <w:t>constant des nouveaux venus qui naissent au mo</w:t>
      </w:r>
      <w:r w:rsidR="004474E2">
        <w:t>n</w:t>
      </w:r>
      <w:r w:rsidR="004C25A5">
        <w:t>de étrangers »</w:t>
      </w:r>
      <w:r w:rsidR="00A92729">
        <w:rPr>
          <w:rStyle w:val="Appelnotedebasdep"/>
        </w:rPr>
        <w:footnoteReference w:id="4"/>
      </w:r>
      <w:r w:rsidR="004C25A5">
        <w:t xml:space="preserve">. Ces nouveaux venus sont à la fois un </w:t>
      </w:r>
      <w:r w:rsidR="004C25A5" w:rsidRPr="004474E2">
        <w:rPr>
          <w:i/>
          <w:iCs/>
        </w:rPr>
        <w:t>risque</w:t>
      </w:r>
      <w:r w:rsidR="004C25A5">
        <w:t xml:space="preserve">, voire un </w:t>
      </w:r>
      <w:r w:rsidR="004474E2">
        <w:t xml:space="preserve">danger – possiblement, ils peuvent ne pas vouloir (ou pouvoir) reconnaitre le monde qu’ils trouvent – mais aussi ils sont une promesse de </w:t>
      </w:r>
      <w:r w:rsidR="004474E2" w:rsidRPr="004474E2">
        <w:rPr>
          <w:i/>
          <w:iCs/>
        </w:rPr>
        <w:t>commencement</w:t>
      </w:r>
      <w:r w:rsidR="004474E2">
        <w:t xml:space="preserve">, un espoir – possiblement, ils ont, par définition, la vie devant eux </w:t>
      </w:r>
      <w:r w:rsidR="004A7C7F">
        <w:t xml:space="preserve">pour apporter </w:t>
      </w:r>
      <w:r w:rsidR="00B37EEE">
        <w:t>du</w:t>
      </w:r>
      <w:r w:rsidR="004A7C7F">
        <w:t xml:space="preserve"> nouveau et changer le vieux monde. </w:t>
      </w:r>
      <w:r w:rsidR="00F60284">
        <w:t>Par exemple, c</w:t>
      </w:r>
      <w:r w:rsidR="004A7C7F">
        <w:t xml:space="preserve">ela suppose, </w:t>
      </w:r>
      <w:r w:rsidR="00F60284">
        <w:t>pour l’</w:t>
      </w:r>
      <w:r w:rsidR="004A7C7F">
        <w:t>école publique</w:t>
      </w:r>
      <w:r w:rsidR="004A7C7F">
        <w:rPr>
          <w:rStyle w:val="Appelnotedebasdep"/>
        </w:rPr>
        <w:footnoteReference w:id="5"/>
      </w:r>
      <w:r w:rsidR="004A7C7F" w:rsidRPr="004A7C7F">
        <w:t>,</w:t>
      </w:r>
      <w:r w:rsidR="004A7C7F">
        <w:t xml:space="preserve"> un double mouvement : permettre </w:t>
      </w:r>
      <w:r w:rsidR="00641EE2">
        <w:t xml:space="preserve">aux nouveaux venus d’être </w:t>
      </w:r>
      <w:r w:rsidR="00B37EEE">
        <w:t>« adaptés à un monde unique, commun à tous et d’y vivre »</w:t>
      </w:r>
      <w:r w:rsidR="0028384F">
        <w:rPr>
          <w:rStyle w:val="Appelnotedebasdep"/>
        </w:rPr>
        <w:footnoteReference w:id="6"/>
      </w:r>
      <w:r w:rsidR="0098373E">
        <w:t> – « le monde commun est ce qui nous accueille à notre naissance, ce que nous laissons derrière nous en mourant. Il transcende notre vie aussi bien dans le passé que dans l’avenir ; il était là avant nous, il survivra au bref séjour que nous y faisons. Il est ce que nous avons en commun non seulement avec nos contemporains, mais aussi avec ceux qui sont passés et avec ceux qui viendront après nous »</w:t>
      </w:r>
      <w:r w:rsidR="005553D7">
        <w:rPr>
          <w:rStyle w:val="Appelnotedebasdep"/>
        </w:rPr>
        <w:footnoteReference w:id="7"/>
      </w:r>
      <w:r w:rsidR="00884B87">
        <w:t>.</w:t>
      </w:r>
      <w:r w:rsidR="0098373E">
        <w:t> – mais aussi</w:t>
      </w:r>
      <w:r w:rsidR="00A63BE1">
        <w:t xml:space="preserve">, à l’inverse </w:t>
      </w:r>
      <w:r w:rsidR="007D4D32">
        <w:t>pourrait-on</w:t>
      </w:r>
      <w:r w:rsidR="00A63BE1">
        <w:t xml:space="preserve"> dire, ne pas occulter le nouveau, l’imprévisible, le commencement que signifie la natalité elle-même dont le sens bouscule le biologique </w:t>
      </w:r>
      <w:r w:rsidR="00F10F15">
        <w:t xml:space="preserve">(domaine privé) </w:t>
      </w:r>
      <w:r w:rsidR="00A63BE1">
        <w:t xml:space="preserve">pour </w:t>
      </w:r>
      <w:r w:rsidR="00F10F15">
        <w:t>s’inscrire comme seconde naissance dans le domaine public du monde commun, produit par les œuvres humaines.</w:t>
      </w:r>
    </w:p>
    <w:p w14:paraId="7DB04867" w14:textId="722498FF" w:rsidR="00AE15F0" w:rsidRDefault="00790BD7" w:rsidP="006B6DB0">
      <w:r>
        <w:t>Par natalit</w:t>
      </w:r>
      <w:r w:rsidR="008811E4">
        <w:t>é, Hannah Arendt désigne bien la naissance au sens</w:t>
      </w:r>
      <w:r w:rsidR="0064761A">
        <w:t xml:space="preserve"> courant du terme</w:t>
      </w:r>
      <w:r w:rsidR="00090AE2">
        <w:t xml:space="preserve"> et donc l’arrivée</w:t>
      </w:r>
      <w:r w:rsidR="00F94A66">
        <w:t xml:space="preserve"> au monde de nouveaux venus</w:t>
      </w:r>
      <w:r w:rsidR="00B84B70">
        <w:t>. Cette extension du concept de natalité</w:t>
      </w:r>
      <w:r w:rsidR="007A7379">
        <w:t xml:space="preserve"> est commode pour expliquer un certain </w:t>
      </w:r>
      <w:r w:rsidR="00B15D0B">
        <w:t>nombre de choses</w:t>
      </w:r>
      <w:r w:rsidR="002C34E9">
        <w:t>, notamment sur l’éducation</w:t>
      </w:r>
      <w:r w:rsidR="002C34E9">
        <w:rPr>
          <w:rStyle w:val="Appelnotedebasdep"/>
        </w:rPr>
        <w:footnoteReference w:id="8"/>
      </w:r>
      <w:r w:rsidR="00B8213D">
        <w:t>.</w:t>
      </w:r>
      <w:r w:rsidR="00AA3136">
        <w:t xml:space="preserve"> Mais la compréhension</w:t>
      </w:r>
      <w:r w:rsidR="00462AFB">
        <w:t xml:space="preserve"> de ce concept conduit à </w:t>
      </w:r>
      <w:r w:rsidR="00B8213D">
        <w:t>en élargir</w:t>
      </w:r>
      <w:r w:rsidR="00CC1F70">
        <w:t xml:space="preserve"> l’extension à tout commencement</w:t>
      </w:r>
      <w:r w:rsidR="00BE2A69">
        <w:t>.</w:t>
      </w:r>
      <w:r w:rsidR="005644D1">
        <w:t xml:space="preserve"> </w:t>
      </w:r>
      <w:r w:rsidR="00153F08">
        <w:t>La natalité</w:t>
      </w:r>
      <w:r w:rsidR="00622864">
        <w:t xml:space="preserve"> englobe</w:t>
      </w:r>
      <w:r w:rsidR="00EC477B">
        <w:t xml:space="preserve"> la faculté d’agir et de créer</w:t>
      </w:r>
      <w:r w:rsidR="005E4695">
        <w:t xml:space="preserve"> du neuf, de manière unique et imprévisible</w:t>
      </w:r>
      <w:r w:rsidR="0050772D">
        <w:t xml:space="preserve">. </w:t>
      </w:r>
      <w:r w:rsidR="00A87CEA">
        <w:t xml:space="preserve">De là à dire que l’éducation </w:t>
      </w:r>
      <w:r w:rsidR="00C105B2">
        <w:t>peut être prise comme métaphore de tout interpellation politique</w:t>
      </w:r>
      <w:r w:rsidR="00F25F90">
        <w:t xml:space="preserve"> par sa tension entre </w:t>
      </w:r>
      <w:r w:rsidR="00830B9E">
        <w:t>préserver le monde et préparer au changement</w:t>
      </w:r>
      <w:r w:rsidR="00251F31">
        <w:t>, voire comme métaphore du procès d’</w:t>
      </w:r>
      <w:r w:rsidR="0039302F">
        <w:t>intégration</w:t>
      </w:r>
      <w:r w:rsidR="00251F31">
        <w:t xml:space="preserve"> au monde pour les mêmes raisons</w:t>
      </w:r>
      <w:r w:rsidR="0039302F">
        <w:t>…</w:t>
      </w:r>
    </w:p>
    <w:p w14:paraId="1C2714AD" w14:textId="360E57B2" w:rsidR="0050772D" w:rsidRDefault="00C24CF8" w:rsidP="0024442C">
      <w:pPr>
        <w:pStyle w:val="Titre2"/>
      </w:pPr>
      <w:r>
        <w:t>Monde commun</w:t>
      </w:r>
    </w:p>
    <w:p w14:paraId="41EF89A2" w14:textId="60108AAB" w:rsidR="006E24CB" w:rsidRDefault="00F10F15" w:rsidP="006E24CB">
      <w:r w:rsidRPr="00F10F15">
        <w:t>Le "monde commun" désigne l'espace partagé où les individus se rencontrent et interagissent. Contrairement à l'univers personnel et privé, le monde commun est construit par les objets et les institutions qui relient les personnes entre elles. Ce monde est durable et assure une continuité à travers les générations, car il est constitué des œuvres humaines</w:t>
      </w:r>
      <w:r w:rsidR="00F557F6">
        <w:t> </w:t>
      </w:r>
      <w:r w:rsidRPr="00F10F15">
        <w:t>–</w:t>
      </w:r>
      <w:r w:rsidR="00F557F6">
        <w:t> </w:t>
      </w:r>
      <w:r w:rsidRPr="00F10F15">
        <w:t>bâtiments, œuvres d'art, institutions</w:t>
      </w:r>
      <w:r w:rsidR="005C0D08">
        <w:t> </w:t>
      </w:r>
      <w:r w:rsidRPr="00F10F15">
        <w:t>–</w:t>
      </w:r>
      <w:r w:rsidR="00F557F6">
        <w:t> </w:t>
      </w:r>
      <w:r w:rsidRPr="00F10F15">
        <w:t xml:space="preserve">qui perdurent au-delà de la vie individuelle. </w:t>
      </w:r>
      <w:r w:rsidR="006E24CB">
        <w:t>« </w:t>
      </w:r>
      <w:r w:rsidR="005052FE">
        <w:t>C</w:t>
      </w:r>
      <w:r w:rsidR="006E24CB">
        <w:t>e monde n'est pas identique à la Terre ou à la nature, en tant que cadre du mouvement des hommes et condition générale de la vie. Il est lié aux productions humaines, aux objets fabriqués de main d'homme, ainsi qu'aux relations qui existent entre les habitants de ce monde »</w:t>
      </w:r>
      <w:r w:rsidR="006241C7">
        <w:rPr>
          <w:rStyle w:val="Appelnotedebasdep"/>
        </w:rPr>
        <w:footnoteReference w:id="9"/>
      </w:r>
      <w:r w:rsidR="006E24CB">
        <w:t xml:space="preserve">. </w:t>
      </w:r>
      <w:r w:rsidRPr="00F10F15">
        <w:t>Le monde commun existe précisément parce qu'il est partagé par une pluralité d'individus. Cette pluralité est la condition de l'action et du discours.</w:t>
      </w:r>
      <w:r w:rsidR="008B57A1" w:rsidRPr="008B57A1">
        <w:t xml:space="preserve"> </w:t>
      </w:r>
      <w:r w:rsidR="008B57A1" w:rsidRPr="00F10F15">
        <w:t>Contrairement aux objets de consommation qui disparaissent avec leur usage, les objets du monde commun sont durables et fournissent un cadre stable pour l'interaction humaine.</w:t>
      </w:r>
      <w:r w:rsidR="008B57A1" w:rsidRPr="008B57A1">
        <w:t xml:space="preserve"> </w:t>
      </w:r>
      <w:r w:rsidR="008B57A1" w:rsidRPr="00F10F15">
        <w:t xml:space="preserve">Le monde commun est </w:t>
      </w:r>
      <w:r w:rsidR="00744024" w:rsidRPr="00F10F15">
        <w:t>objecti</w:t>
      </w:r>
      <w:r w:rsidR="00744024">
        <w:t>vabl</w:t>
      </w:r>
      <w:r w:rsidR="00744024" w:rsidRPr="00F10F15">
        <w:t>e</w:t>
      </w:r>
      <w:r w:rsidR="008B57A1" w:rsidRPr="00F10F15">
        <w:t xml:space="preserve"> dans le sens où il est accessible à tous et transcende les perspectives individuelles, permettant une réalité partagée et commune.</w:t>
      </w:r>
      <w:r w:rsidR="008B57A1">
        <w:t xml:space="preserve"> </w:t>
      </w:r>
      <w:r w:rsidR="006E24CB">
        <w:t>« </w:t>
      </w:r>
      <w:r w:rsidR="006E24CB" w:rsidRPr="006E24CB">
        <w:t xml:space="preserve">Vivre ensemble dans le </w:t>
      </w:r>
      <w:r w:rsidR="0060786F" w:rsidRPr="006E24CB">
        <w:t>monde</w:t>
      </w:r>
      <w:r w:rsidR="00DF6A8A">
        <w:t> :</w:t>
      </w:r>
      <w:r w:rsidR="006E24CB" w:rsidRPr="006E24CB">
        <w:t xml:space="preserve"> c'est dire essentiellement</w:t>
      </w:r>
      <w:r w:rsidR="006E24CB">
        <w:t xml:space="preserve"> </w:t>
      </w:r>
      <w:r w:rsidR="006E24CB" w:rsidRPr="006E24CB">
        <w:t>qu'un monde d'objets se tient entre ceux qui l'ont en commun, comme une</w:t>
      </w:r>
      <w:r w:rsidR="006E24CB">
        <w:t xml:space="preserve"> </w:t>
      </w:r>
      <w:r w:rsidR="006E24CB" w:rsidRPr="006E24CB">
        <w:t>table est située entre ceux qui s'assoient autour d'elle; le monde, comme tout</w:t>
      </w:r>
      <w:r w:rsidR="006E24CB">
        <w:t xml:space="preserve"> </w:t>
      </w:r>
      <w:r w:rsidR="006E24CB" w:rsidRPr="006E24CB">
        <w:t>entre-deux, relie et sépare en même temps les hommes.</w:t>
      </w:r>
      <w:r w:rsidR="006E24CB">
        <w:t xml:space="preserve"> </w:t>
      </w:r>
      <w:r w:rsidR="006E24CB" w:rsidRPr="006E24CB">
        <w:t>Le domaine public, monde commun, nous rassemble mais aussi nous</w:t>
      </w:r>
      <w:r w:rsidR="006E24CB">
        <w:t xml:space="preserve"> </w:t>
      </w:r>
      <w:r w:rsidR="006E24CB" w:rsidRPr="006E24CB">
        <w:t>empêche, pour ainsi dire, de tomber les uns sur les autres</w:t>
      </w:r>
      <w:r w:rsidR="006E24CB">
        <w:t> »</w:t>
      </w:r>
      <w:r w:rsidR="00A669A2">
        <w:rPr>
          <w:rStyle w:val="Appelnotedebasdep"/>
        </w:rPr>
        <w:footnoteReference w:id="10"/>
      </w:r>
      <w:r w:rsidR="006E24CB" w:rsidRPr="006E24CB">
        <w:t>.</w:t>
      </w:r>
    </w:p>
    <w:p w14:paraId="4033DE35" w14:textId="501D4065" w:rsidR="007A1BC5" w:rsidRDefault="007A1BC5" w:rsidP="0024442C">
      <w:pPr>
        <w:pStyle w:val="Titre2"/>
      </w:pPr>
      <w:r>
        <w:t>Monde politique</w:t>
      </w:r>
      <w:r w:rsidR="00324618">
        <w:t xml:space="preserve"> : </w:t>
      </w:r>
      <w:r w:rsidR="006035FA">
        <w:t>communauté politique et droit d’avoir des droits</w:t>
      </w:r>
    </w:p>
    <w:p w14:paraId="08070CFE" w14:textId="4F607530" w:rsidR="0076331F" w:rsidRDefault="00192DCE" w:rsidP="00C852FA">
      <w:r>
        <w:t>De ce monde commun s’origine un monde politique</w:t>
      </w:r>
      <w:r w:rsidR="00333D2B">
        <w:t xml:space="preserve">, </w:t>
      </w:r>
      <w:r w:rsidR="00333D2B" w:rsidRPr="00333D2B">
        <w:t xml:space="preserve">sphère spécifique du monde commun où se déroulent les activités politiques. C'est l'espace de l'action et du discours, où les individus se manifestent publiquement et exercent leur liberté. Le monde politique est </w:t>
      </w:r>
      <w:r w:rsidR="008A5138">
        <w:t>celui de</w:t>
      </w:r>
      <w:r w:rsidR="00333D2B" w:rsidRPr="00333D2B">
        <w:t xml:space="preserve"> la participation active des citoyens, </w:t>
      </w:r>
      <w:r w:rsidR="008A5138">
        <w:t>du</w:t>
      </w:r>
      <w:r w:rsidR="00333D2B" w:rsidRPr="00333D2B">
        <w:t xml:space="preserve"> débat et </w:t>
      </w:r>
      <w:r w:rsidR="008A5138">
        <w:t xml:space="preserve">de </w:t>
      </w:r>
      <w:r w:rsidR="00333D2B" w:rsidRPr="00333D2B">
        <w:t xml:space="preserve">la délibération. Le monde politique </w:t>
      </w:r>
      <w:r w:rsidR="008A5138">
        <w:t>est celui de</w:t>
      </w:r>
      <w:r w:rsidR="00333D2B" w:rsidRPr="00333D2B">
        <w:t xml:space="preserve"> l'égalité entre les participants, chaque individu ayant une voix et étant reconnu comme égal parmi les autres</w:t>
      </w:r>
      <w:r w:rsidR="00333D2B">
        <w:t xml:space="preserve">. </w:t>
      </w:r>
      <w:r w:rsidR="008A5138">
        <w:t xml:space="preserve">« La politique repose sur un fait : la pluralité humaine (…) [et] traite de la communauté et de la réciprocité d’êtres </w:t>
      </w:r>
      <w:r w:rsidR="008A5138">
        <w:rPr>
          <w:i/>
          <w:iCs/>
        </w:rPr>
        <w:t>différents </w:t>
      </w:r>
      <w:r w:rsidR="008A5138" w:rsidRPr="008A5138">
        <w:t>»</w:t>
      </w:r>
      <w:r w:rsidR="00BC0723">
        <w:rPr>
          <w:rStyle w:val="Appelnotedebasdep"/>
        </w:rPr>
        <w:footnoteReference w:id="11"/>
      </w:r>
      <w:r w:rsidR="008A5138">
        <w:t>. « </w:t>
      </w:r>
      <w:r w:rsidR="00744024">
        <w:t>En d’autres termes</w:t>
      </w:r>
      <w:r w:rsidR="0076331F">
        <w:t>, il ne peut y avoir d’hommes au sens propre que là où il y a un monde et il ne peut y avoir de monde au sens propre que là où la pluralité du genre humain ne se réduit pas à la simple multiplication des exemplaires d’une espèce »</w:t>
      </w:r>
      <w:r w:rsidR="00712A3E">
        <w:rPr>
          <w:rStyle w:val="Appelnotedebasdep"/>
        </w:rPr>
        <w:footnoteReference w:id="12"/>
      </w:r>
      <w:r w:rsidR="0076331F">
        <w:t xml:space="preserve">. </w:t>
      </w:r>
    </w:p>
    <w:p w14:paraId="2D69D4A5" w14:textId="7736D2AF" w:rsidR="00C852FA" w:rsidRDefault="00333D2B" w:rsidP="00744024">
      <w:r w:rsidRPr="00333D2B">
        <w:t>Par l'</w:t>
      </w:r>
      <w:r w:rsidRPr="0076331F">
        <w:rPr>
          <w:i/>
          <w:iCs/>
        </w:rPr>
        <w:t>action</w:t>
      </w:r>
      <w:r w:rsidRPr="00333D2B">
        <w:t xml:space="preserve">, les individus initient des processus qui changent le monde, tandis que par le </w:t>
      </w:r>
      <w:r w:rsidRPr="0076331F">
        <w:rPr>
          <w:i/>
          <w:iCs/>
        </w:rPr>
        <w:t>discours</w:t>
      </w:r>
      <w:r w:rsidRPr="00333D2B">
        <w:t>, ils se révèlent et communiquent avec les autres</w:t>
      </w:r>
      <w:r>
        <w:t xml:space="preserve"> sur le mode de l’interlocution qui distingue un </w:t>
      </w:r>
      <w:r w:rsidR="00F101A4">
        <w:t>"</w:t>
      </w:r>
      <w:r>
        <w:t>Je</w:t>
      </w:r>
      <w:r w:rsidR="00F101A4">
        <w:t>"</w:t>
      </w:r>
      <w:r>
        <w:t xml:space="preserve"> et un </w:t>
      </w:r>
      <w:r w:rsidR="00F101A4">
        <w:t>"</w:t>
      </w:r>
      <w:r>
        <w:t>Tu</w:t>
      </w:r>
      <w:r w:rsidR="00F101A4">
        <w:t>"</w:t>
      </w:r>
      <w:r w:rsidRPr="00333D2B">
        <w:t>.</w:t>
      </w:r>
      <w:r w:rsidR="00F101A4">
        <w:t xml:space="preserve"> </w:t>
      </w:r>
      <w:r w:rsidR="00F101A4" w:rsidRPr="00333D2B">
        <w:t>La liberté politique n'est pas simplement l'absence de contrainte</w:t>
      </w:r>
      <w:r w:rsidR="00894AFC">
        <w:t>s</w:t>
      </w:r>
      <w:r w:rsidR="00F101A4" w:rsidRPr="00333D2B">
        <w:t>, mais la capacité de participer à la vie publique, d'agir et de parler ensemble</w:t>
      </w:r>
      <w:r w:rsidR="00AF2030">
        <w:t>,</w:t>
      </w:r>
      <w:r w:rsidR="00F101A4">
        <w:t xml:space="preserve"> en contraste avec </w:t>
      </w:r>
      <w:r w:rsidR="00AF2030">
        <w:t>les domaines et situations où le conformisme et le "On"</w:t>
      </w:r>
      <w:r w:rsidR="00B10411">
        <w:rPr>
          <w:rStyle w:val="Appelnotedebasdep"/>
        </w:rPr>
        <w:footnoteReference w:id="13"/>
      </w:r>
      <w:r w:rsidR="00AF2030">
        <w:t xml:space="preserve"> sont la règle, « chacun multipliant et prolongeant </w:t>
      </w:r>
      <w:r w:rsidR="00C852FA">
        <w:t>la perspective</w:t>
      </w:r>
      <w:r w:rsidR="00AF2030">
        <w:t xml:space="preserve"> de son voisin »</w:t>
      </w:r>
      <w:r w:rsidR="00124A6D">
        <w:rPr>
          <w:rStyle w:val="Appelnotedebasdep"/>
        </w:rPr>
        <w:footnoteReference w:id="14"/>
      </w:r>
      <w:r w:rsidR="00F101A4" w:rsidRPr="00333D2B">
        <w:t>.</w:t>
      </w:r>
      <w:r w:rsidR="00AF2030">
        <w:t xml:space="preserve"> </w:t>
      </w:r>
      <w:r w:rsidR="0076331F">
        <w:t xml:space="preserve">Dans l’action et plus encore dans </w:t>
      </w:r>
      <w:r w:rsidR="009022B4">
        <w:t>l’interlocution,</w:t>
      </w:r>
      <w:r w:rsidR="0076331F">
        <w:t xml:space="preserve"> on est sur le plan du "qui</w:t>
      </w:r>
      <w:r w:rsidR="009022B4">
        <w:t xml:space="preserve"> (je suis-tu es)</w:t>
      </w:r>
      <w:r w:rsidR="00F60284">
        <w:t> ?"</w:t>
      </w:r>
      <w:r w:rsidR="009022B4">
        <w:t xml:space="preserve"> et non plus seulement sur le plan du "qu’</w:t>
      </w:r>
      <w:r w:rsidR="009C516C">
        <w:t xml:space="preserve">est-ce </w:t>
      </w:r>
      <w:r w:rsidR="009022B4">
        <w:t xml:space="preserve">que tu es ?" (un immigré, un handicapé, un </w:t>
      </w:r>
      <w:r w:rsidR="00B628C8">
        <w:t>noir, …</w:t>
      </w:r>
      <w:r w:rsidR="009022B4">
        <w:t>) « </w:t>
      </w:r>
      <w:r w:rsidR="00C852FA">
        <w:t xml:space="preserve">Tel est le sens de la vie </w:t>
      </w:r>
      <w:r w:rsidR="0076331F">
        <w:t>publique</w:t>
      </w:r>
      <w:r w:rsidR="009022B4">
        <w:t> </w:t>
      </w:r>
      <w:r w:rsidR="0076331F">
        <w:t>;</w:t>
      </w:r>
      <w:r w:rsidR="00C852FA">
        <w:t xml:space="preserve"> si le monde commun offre à</w:t>
      </w:r>
      <w:r w:rsidR="00C852FA" w:rsidRPr="00C852FA">
        <w:t xml:space="preserve"> </w:t>
      </w:r>
      <w:r w:rsidR="00C852FA">
        <w:t xml:space="preserve">tous un lieu de rencontre, ceux qui s'y présentent y ont des </w:t>
      </w:r>
      <w:r w:rsidR="00C852FA" w:rsidRPr="009022B4">
        <w:rPr>
          <w:i/>
          <w:iCs/>
        </w:rPr>
        <w:t>places</w:t>
      </w:r>
      <w:r w:rsidR="00C852FA">
        <w:t xml:space="preserve"> différentes, et la place de l'un ne coïncide pas plus avec celle d'un autre que deux objets</w:t>
      </w:r>
      <w:r w:rsidR="00C852FA" w:rsidRPr="00C852FA">
        <w:t xml:space="preserve"> </w:t>
      </w:r>
      <w:r w:rsidR="00C852FA">
        <w:t>ne peuvent coïncider dans l'espace. Il vaut la peine d'être vu et d'être entendu</w:t>
      </w:r>
      <w:r w:rsidR="00C852FA" w:rsidRPr="00C852FA">
        <w:t xml:space="preserve"> </w:t>
      </w:r>
      <w:r w:rsidR="00C852FA">
        <w:t>parce que chacun voit et entend de sa place, qui est différente de toutes les</w:t>
      </w:r>
      <w:r w:rsidR="00C852FA" w:rsidRPr="00C852FA">
        <w:t xml:space="preserve"> </w:t>
      </w:r>
      <w:r w:rsidR="00C852FA">
        <w:t>autres »</w:t>
      </w:r>
      <w:r w:rsidR="001812F6">
        <w:rPr>
          <w:rStyle w:val="Appelnotedebasdep"/>
        </w:rPr>
        <w:footnoteReference w:id="15"/>
      </w:r>
      <w:r w:rsidR="00B422A4">
        <w:t>.</w:t>
      </w:r>
      <w:r w:rsidR="00C852FA">
        <w:t xml:space="preserve"> </w:t>
      </w:r>
      <w:r w:rsidR="009022B4">
        <w:t>Le monde commun et plus encore le mode politique, parce que partagés</w:t>
      </w:r>
      <w:r w:rsidR="00F71E14">
        <w:t>,</w:t>
      </w:r>
      <w:r w:rsidR="009022B4">
        <w:t xml:space="preserve"> sont le monde des différends, des désaccords</w:t>
      </w:r>
      <w:r w:rsidR="00F71E14">
        <w:t xml:space="preserve">, des divergences et de la mésentente, </w:t>
      </w:r>
      <w:r w:rsidR="009022B4">
        <w:t>mai</w:t>
      </w:r>
      <w:r w:rsidR="00F60284">
        <w:t>s, aussi,</w:t>
      </w:r>
      <w:r w:rsidR="009022B4">
        <w:t xml:space="preserve"> celui des débats</w:t>
      </w:r>
      <w:r w:rsidR="00F71E14">
        <w:t>,</w:t>
      </w:r>
      <w:r w:rsidR="009022B4">
        <w:t xml:space="preserve"> de la </w:t>
      </w:r>
      <w:r w:rsidR="009022B4" w:rsidRPr="009022B4">
        <w:rPr>
          <w:i/>
          <w:iCs/>
        </w:rPr>
        <w:t>disputatio</w:t>
      </w:r>
      <w:r w:rsidR="009022B4">
        <w:t xml:space="preserve"> et non celui de la brutalisation et de la brutalité</w:t>
      </w:r>
      <w:r w:rsidR="00C468E0">
        <w:t xml:space="preserve">. </w:t>
      </w:r>
      <w:r w:rsidR="0019002A">
        <w:t>Et on pourrait</w:t>
      </w:r>
      <w:r w:rsidR="00CC6669">
        <w:t xml:space="preserve"> suivre Héraclite </w:t>
      </w:r>
      <w:r w:rsidR="009031E3">
        <w:t>(fragment 80) traduit par Léon Robin</w:t>
      </w:r>
      <w:r w:rsidR="00B916BD">
        <w:t> : « </w:t>
      </w:r>
      <w:r w:rsidR="00B916BD" w:rsidRPr="00B916BD">
        <w:t>Le conflit est communauté et la discorde est règlement</w:t>
      </w:r>
      <w:r w:rsidR="00B916BD">
        <w:t> »</w:t>
      </w:r>
      <w:r w:rsidR="00B916BD" w:rsidRPr="00B916BD">
        <w:t>.</w:t>
      </w:r>
    </w:p>
    <w:p w14:paraId="42732CC1" w14:textId="4B77BDA8" w:rsidR="00333D2B" w:rsidRDefault="00333D2B" w:rsidP="00333D2B">
      <w:r w:rsidRPr="00333D2B">
        <w:t>Le monde commun fournit le cadre matériel et symbolique nécessaire à l'existence du monde politique, mais c'est dans ce dernier que la liberté et l'égalité trouvent leur expression la plus complète</w:t>
      </w:r>
      <w:r w:rsidR="00F71E14">
        <w:t xml:space="preserve">, ce qui, bien évidemment, ne dit rien sur </w:t>
      </w:r>
      <w:r w:rsidR="001E0F3F">
        <w:t>les modalités historiques</w:t>
      </w:r>
      <w:r w:rsidR="00F71E14">
        <w:t xml:space="preserve"> du monde politique</w:t>
      </w:r>
      <w:r w:rsidR="00F60284">
        <w:t>, ni sur ses objets historiques</w:t>
      </w:r>
      <w:r w:rsidR="00F71E14">
        <w:t>.</w:t>
      </w:r>
    </w:p>
    <w:p w14:paraId="71AC87FA" w14:textId="15592B68" w:rsidR="005A15C2" w:rsidRPr="00333D2B" w:rsidRDefault="00684A61" w:rsidP="0024442C">
      <w:pPr>
        <w:pStyle w:val="Titre2"/>
      </w:pPr>
      <w:r>
        <w:t>Interpellation politique des individus</w:t>
      </w:r>
      <w:r w:rsidR="00895A10">
        <w:t>.</w:t>
      </w:r>
    </w:p>
    <w:p w14:paraId="179E5DAF" w14:textId="167D097C" w:rsidR="00192DCE" w:rsidRDefault="004C6289" w:rsidP="006E24CB">
      <w:r>
        <w:t>C</w:t>
      </w:r>
      <w:r w:rsidR="00744024">
        <w:t xml:space="preserve">’est d’être appelé, interpelé sur le plan </w:t>
      </w:r>
      <w:r w:rsidR="00744024" w:rsidRPr="00A46C71">
        <w:rPr>
          <w:i/>
          <w:iCs/>
        </w:rPr>
        <w:t>politique</w:t>
      </w:r>
      <w:r w:rsidR="00A46C71">
        <w:t>, c’est d’être reconnu sur ce plan qu’</w:t>
      </w:r>
      <w:r w:rsidR="00C91B98">
        <w:t>u</w:t>
      </w:r>
      <w:r w:rsidR="00A46C71">
        <w:t>n individu s’intègre, est intégré, au sens premier du terme intégration, i.e. « f</w:t>
      </w:r>
      <w:r w:rsidR="00A46C71" w:rsidRPr="00A46C71">
        <w:t>aire entrer un élément dans un ensemble de sorte qu’il en devienne une partie constitutive</w:t>
      </w:r>
      <w:r w:rsidR="00A46C71">
        <w:t> »</w:t>
      </w:r>
      <w:r w:rsidR="00DB5751">
        <w:rPr>
          <w:rStyle w:val="Appelnotedebasdep"/>
        </w:rPr>
        <w:footnoteReference w:id="16"/>
      </w:r>
      <w:r w:rsidR="00A46C71" w:rsidRPr="00A46C71">
        <w:t>.</w:t>
      </w:r>
      <w:r w:rsidR="00DB5751">
        <w:t xml:space="preserve"> </w:t>
      </w:r>
      <w:r w:rsidR="00C91B98">
        <w:t>Cet ensemble est la communauté politique fondée sur le pluralisme et l’égalité</w:t>
      </w:r>
      <w:r w:rsidR="0060786F">
        <w:t xml:space="preserve">, communauté qui garantit les droits individuels. </w:t>
      </w:r>
      <w:r w:rsidR="004A7E8B">
        <w:t>« La pluralité humaine, condition fondamentale de l’action et de la parole a le double caractère de l’égalité et de la distinction »</w:t>
      </w:r>
      <w:r w:rsidR="00C62B4E">
        <w:rPr>
          <w:rStyle w:val="Appelnotedebasdep"/>
        </w:rPr>
        <w:footnoteReference w:id="17"/>
      </w:r>
      <w:r w:rsidR="004A7E8B">
        <w:t xml:space="preserve">. </w:t>
      </w:r>
      <w:r w:rsidR="0060786F">
        <w:t>Cette interpellation politique ouvre la possibilité du « </w:t>
      </w:r>
      <w:r w:rsidR="0060786F" w:rsidRPr="004A7E8B">
        <w:rPr>
          <w:i/>
          <w:iCs/>
        </w:rPr>
        <w:t>droit d’avoir des droits</w:t>
      </w:r>
      <w:r w:rsidR="0060786F">
        <w:t xml:space="preserve"> » i.e. le droit à </w:t>
      </w:r>
      <w:r w:rsidR="0060786F" w:rsidRPr="004A7E8B">
        <w:rPr>
          <w:i/>
          <w:iCs/>
        </w:rPr>
        <w:t>l’appartenance politique</w:t>
      </w:r>
      <w:r w:rsidR="0060786F">
        <w:t xml:space="preserve">, c’est-à-dire à être membre d’une communauté où les droits individuels sont protégés, i.e. le droit à la </w:t>
      </w:r>
      <w:r w:rsidR="0060786F" w:rsidRPr="004A7E8B">
        <w:rPr>
          <w:i/>
          <w:iCs/>
        </w:rPr>
        <w:t>reconnaissance</w:t>
      </w:r>
      <w:r w:rsidR="0060786F">
        <w:t xml:space="preserve"> en tant qu’être humain </w:t>
      </w:r>
      <w:r w:rsidR="004A7E8B">
        <w:t>doté d’une dignité – </w:t>
      </w:r>
      <w:r w:rsidR="004A7E8B" w:rsidRPr="004A7E8B">
        <w:rPr>
          <w:i/>
          <w:iCs/>
        </w:rPr>
        <w:t>dignité politique</w:t>
      </w:r>
      <w:r w:rsidR="00C91B98">
        <w:t xml:space="preserve">. </w:t>
      </w:r>
    </w:p>
    <w:p w14:paraId="1567C7D1" w14:textId="6E9F6574" w:rsidR="00425AAE" w:rsidRDefault="00810B48" w:rsidP="006E24CB">
      <w:r>
        <w:t>La communauté politique</w:t>
      </w:r>
      <w:r w:rsidR="0019132C">
        <w:t xml:space="preserve"> ne se fonde pas </w:t>
      </w:r>
      <w:r w:rsidR="009714E9">
        <w:t>dans la solidarité</w:t>
      </w:r>
      <w:r w:rsidR="0075084B">
        <w:t xml:space="preserve"> harmonieuse d’une </w:t>
      </w:r>
      <w:r w:rsidR="00DA3634">
        <w:t xml:space="preserve">communauté close </w:t>
      </w:r>
      <w:r w:rsidR="00766FD7">
        <w:t>reconduisant</w:t>
      </w:r>
      <w:r w:rsidR="00693166">
        <w:t xml:space="preserve"> la rassurante </w:t>
      </w:r>
      <w:r w:rsidR="00054577">
        <w:t>intimité proximale du chez soi</w:t>
      </w:r>
      <w:r w:rsidR="00101211">
        <w:t xml:space="preserve"> ; il y a une solution de </w:t>
      </w:r>
      <w:r w:rsidR="007E4056">
        <w:t>continuité</w:t>
      </w:r>
      <w:r w:rsidR="0022448D">
        <w:t xml:space="preserve"> entre </w:t>
      </w:r>
      <w:r w:rsidR="007E4056">
        <w:t>d</w:t>
      </w:r>
      <w:r w:rsidR="0022448D">
        <w:t>es communautés</w:t>
      </w:r>
      <w:r w:rsidR="00A73E16">
        <w:t xml:space="preserve"> originaires d’appartenance</w:t>
      </w:r>
      <w:r w:rsidR="00D44C91">
        <w:t xml:space="preserve">, et la </w:t>
      </w:r>
      <w:r w:rsidR="00191AF2">
        <w:t>« </w:t>
      </w:r>
      <w:r w:rsidR="00D44C91">
        <w:t>c</w:t>
      </w:r>
      <w:r w:rsidR="00191AF2">
        <w:t>ommunauté</w:t>
      </w:r>
      <w:r w:rsidR="008111D8">
        <w:t xml:space="preserve"> politiquement instit</w:t>
      </w:r>
      <w:r w:rsidR="00FE737F">
        <w:t>uée qui correspond</w:t>
      </w:r>
      <w:r w:rsidR="00AD3F6D">
        <w:t xml:space="preserve"> aux conditions de l’historicité </w:t>
      </w:r>
      <w:r w:rsidR="00145D95">
        <w:t>humaine »</w:t>
      </w:r>
      <w:r w:rsidR="00145D95">
        <w:rPr>
          <w:rStyle w:val="Appelnotedebasdep"/>
        </w:rPr>
        <w:footnoteReference w:id="18"/>
      </w:r>
      <w:r w:rsidR="0032385B">
        <w:t xml:space="preserve">, </w:t>
      </w:r>
      <w:r w:rsidR="00106E99">
        <w:t>c’est-à-dire l’égalité et l</w:t>
      </w:r>
      <w:r w:rsidR="00327380">
        <w:t>a distinction</w:t>
      </w:r>
      <w:r w:rsidR="00145D95">
        <w:t>.</w:t>
      </w:r>
      <w:r w:rsidR="00327380">
        <w:t xml:space="preserve"> </w:t>
      </w:r>
      <w:r w:rsidR="005531B7">
        <w:t xml:space="preserve">Parce qu’il relève de l’espace </w:t>
      </w:r>
      <w:r w:rsidR="002951DA">
        <w:t xml:space="preserve">public, le monde politique </w:t>
      </w:r>
      <w:r w:rsidR="00097BCA">
        <w:t>est celui</w:t>
      </w:r>
      <w:r w:rsidR="00295CF4">
        <w:t xml:space="preserve"> des intervalles (distance entre individus autour de la </w:t>
      </w:r>
      <w:r w:rsidR="00183614">
        <w:t>table) qui</w:t>
      </w:r>
      <w:r w:rsidR="00E97403">
        <w:t xml:space="preserve"> relient sans</w:t>
      </w:r>
      <w:r w:rsidR="00E36107">
        <w:t xml:space="preserve"> englober ni </w:t>
      </w:r>
      <w:r w:rsidR="00CA5F2D">
        <w:t>intégrer et</w:t>
      </w:r>
      <w:r w:rsidR="005273C0">
        <w:t xml:space="preserve"> « le problème es</w:t>
      </w:r>
      <w:r w:rsidR="00605325">
        <w:t xml:space="preserve">t </w:t>
      </w:r>
      <w:r w:rsidR="007977BF">
        <w:t>m</w:t>
      </w:r>
      <w:r w:rsidR="00605325">
        <w:t>oins celui de la distance</w:t>
      </w:r>
      <w:r w:rsidR="007977BF">
        <w:t xml:space="preserve"> qui sépare</w:t>
      </w:r>
      <w:r w:rsidR="00757E37">
        <w:t xml:space="preserve"> que celui du lien qui unit dans la séparation</w:t>
      </w:r>
      <w:r w:rsidR="00FF2938">
        <w:t>. D’une certaine façon</w:t>
      </w:r>
      <w:r w:rsidR="009D48C6">
        <w:t>, ce qu’il y a de commun dans</w:t>
      </w:r>
      <w:r w:rsidR="0067484B">
        <w:t xml:space="preserve"> l’espace public, est la </w:t>
      </w:r>
      <w:r w:rsidR="0029069A">
        <w:t>dimension</w:t>
      </w:r>
      <w:r w:rsidR="0067484B">
        <w:t xml:space="preserve"> interva</w:t>
      </w:r>
      <w:r w:rsidR="000B4047">
        <w:t>llaire dans laquelle nous nous rapportons les uns aux autres</w:t>
      </w:r>
      <w:r w:rsidR="007B064E">
        <w:t xml:space="preserve"> et, de là, à nous-mêmes »</w:t>
      </w:r>
      <w:r w:rsidR="007B064E">
        <w:rPr>
          <w:rStyle w:val="Appelnotedebasdep"/>
        </w:rPr>
        <w:footnoteReference w:id="19"/>
      </w:r>
      <w:r w:rsidR="00B861D6">
        <w:t xml:space="preserve">. </w:t>
      </w:r>
      <w:r w:rsidR="0014436B">
        <w:t>Cependant</w:t>
      </w:r>
      <w:r w:rsidR="0029069A">
        <w:t xml:space="preserve">, </w:t>
      </w:r>
      <w:r w:rsidR="00183614">
        <w:t>« </w:t>
      </w:r>
      <w:r w:rsidR="00E43A5D">
        <w:t>le principe communautaire</w:t>
      </w:r>
      <w:r w:rsidR="004D71D4">
        <w:t xml:space="preserve"> peut (…) envahir </w:t>
      </w:r>
      <w:r w:rsidR="008D3087">
        <w:t xml:space="preserve">l’espace public au point de </w:t>
      </w:r>
      <w:r w:rsidR="00291C89">
        <w:t>le détruire</w:t>
      </w:r>
      <w:r w:rsidR="003C4D32">
        <w:t>.</w:t>
      </w:r>
      <w:r w:rsidR="00291C89">
        <w:t xml:space="preserve"> </w:t>
      </w:r>
      <w:r w:rsidR="00205A72" w:rsidRPr="00205A72">
        <w:t>Car il ne peut le faire que de façon hégémonique, impériale, en le colonisant. C'est qu'alors, en effet, en s'imposant, une communauté de monde particulière impose au domaine public un ordre de convictions et de valeurs par définition privées qui, quelles qu'elles soient, ruinent</w:t>
      </w:r>
      <w:r w:rsidR="00514E61">
        <w:t xml:space="preserve"> (…)</w:t>
      </w:r>
      <w:r w:rsidR="00205A72" w:rsidRPr="00205A72">
        <w:t xml:space="preserve"> l'espace public et son hétérogénéité </w:t>
      </w:r>
      <w:r w:rsidR="000F6635" w:rsidRPr="00205A72">
        <w:t>constitutive.</w:t>
      </w:r>
      <w:r w:rsidR="000F6635">
        <w:t xml:space="preserve"> (…) </w:t>
      </w:r>
      <w:r w:rsidR="00205A72" w:rsidRPr="00205A72">
        <w:t xml:space="preserve">L'espace public n'est jamais du côté des convictions, toujours du côté de ce qui se présente à la pluralité des jugements publics. La </w:t>
      </w:r>
      <w:r w:rsidR="00205A72" w:rsidRPr="00205A72">
        <w:rPr>
          <w:i/>
        </w:rPr>
        <w:t xml:space="preserve">polis </w:t>
      </w:r>
      <w:r w:rsidR="00205A72" w:rsidRPr="00205A72">
        <w:t>exige un espace public et l'institution du citoyen comme juge, comme elle exige une scène publique et l'institution du citoyen comme acteur</w:t>
      </w:r>
      <w:r w:rsidR="00D9279E">
        <w:t> »</w:t>
      </w:r>
      <w:r w:rsidR="00D9279E">
        <w:rPr>
          <w:rStyle w:val="Appelnotedebasdep"/>
        </w:rPr>
        <w:footnoteReference w:id="20"/>
      </w:r>
      <w:r w:rsidR="00205A72" w:rsidRPr="00205A72">
        <w:t xml:space="preserve">. </w:t>
      </w:r>
    </w:p>
    <w:p w14:paraId="5BD5C755" w14:textId="2911375A" w:rsidR="00A36BCC" w:rsidRPr="00D661CE" w:rsidRDefault="00B83C61" w:rsidP="002D52D6">
      <w:r>
        <w:t>Pour qu’il y ait</w:t>
      </w:r>
      <w:r w:rsidR="00080776">
        <w:t xml:space="preserve"> distinction, égalité, bref</w:t>
      </w:r>
      <w:r w:rsidR="00627886">
        <w:t>,</w:t>
      </w:r>
      <w:r w:rsidR="00080776">
        <w:t xml:space="preserve"> pluralité a</w:t>
      </w:r>
      <w:r w:rsidR="00CB6DA3">
        <w:t>u</w:t>
      </w:r>
      <w:r w:rsidR="00080776">
        <w:t xml:space="preserve"> </w:t>
      </w:r>
      <w:r w:rsidR="00CB6DA3">
        <w:t>niveau</w:t>
      </w:r>
      <w:r w:rsidR="00080776">
        <w:t xml:space="preserve"> </w:t>
      </w:r>
      <w:r w:rsidR="00CB6DA3">
        <w:t xml:space="preserve">politique, il faut bien qu’il </w:t>
      </w:r>
      <w:r w:rsidR="006C6B8A">
        <w:t>y ait</w:t>
      </w:r>
      <w:r w:rsidR="00CB6DA3">
        <w:t xml:space="preserve"> dés</w:t>
      </w:r>
      <w:r w:rsidR="003F0324">
        <w:t>id</w:t>
      </w:r>
      <w:r w:rsidR="00CB6DA3">
        <w:t>entification</w:t>
      </w:r>
      <w:r w:rsidR="00C43282">
        <w:t xml:space="preserve"> par rapport à des identités</w:t>
      </w:r>
      <w:r w:rsidR="003F0324">
        <w:t xml:space="preserve"> </w:t>
      </w:r>
      <w:r w:rsidR="006C6B8A">
        <w:t xml:space="preserve">communautaires, </w:t>
      </w:r>
      <w:r w:rsidR="005278B6">
        <w:t xml:space="preserve">de l’ordre </w:t>
      </w:r>
      <w:r w:rsidR="005D19E3">
        <w:t>d’un écart à soi</w:t>
      </w:r>
      <w:r w:rsidR="00AA4CED">
        <w:t>.</w:t>
      </w:r>
      <w:r w:rsidR="00E018D9">
        <w:t xml:space="preserve"> Mais l’erreur serait de supposer que cette désidentification es</w:t>
      </w:r>
      <w:r w:rsidR="005600CC">
        <w:t>t</w:t>
      </w:r>
      <w:r w:rsidR="00E018D9">
        <w:t xml:space="preserve"> le prélude d’une réidentification, en l’occurrence politiqu</w:t>
      </w:r>
      <w:r w:rsidR="007557B2">
        <w:t>e,</w:t>
      </w:r>
      <w:r w:rsidR="005600CC">
        <w:t xml:space="preserve"> sauf à penser la communauté politique </w:t>
      </w:r>
      <w:r w:rsidR="000E52FF">
        <w:t>sur le modèle d’une communauté</w:t>
      </w:r>
      <w:r w:rsidR="0028072B">
        <w:t xml:space="preserve"> </w:t>
      </w:r>
      <w:r w:rsidR="00EC6F85">
        <w:t xml:space="preserve">"naturelle" qui non seulement ruine le </w:t>
      </w:r>
      <w:r w:rsidR="00597CCC">
        <w:t>domaine public mais le colonise.</w:t>
      </w:r>
      <w:r w:rsidR="00FD5BBF">
        <w:t xml:space="preserve"> </w:t>
      </w:r>
      <w:r w:rsidR="008B3B29">
        <w:t>« </w:t>
      </w:r>
      <w:r w:rsidR="00D661CE" w:rsidRPr="00D661CE">
        <w:rPr>
          <w:i/>
          <w:iCs/>
        </w:rPr>
        <w:t>Qui</w:t>
      </w:r>
      <w:r w:rsidR="00D661CE">
        <w:t xml:space="preserve"> </w:t>
      </w:r>
      <w:r w:rsidR="00CD5522">
        <w:t>na</w:t>
      </w:r>
      <w:r w:rsidR="00A65532">
        <w:t>î</w:t>
      </w:r>
      <w:r w:rsidR="00CD5522">
        <w:t>t n</w:t>
      </w:r>
      <w:r w:rsidR="00A65532">
        <w:t>’</w:t>
      </w:r>
      <w:r w:rsidR="00CD5522">
        <w:t>est pas contraint</w:t>
      </w:r>
      <w:r w:rsidR="00A65532">
        <w:t xml:space="preserve"> par son</w:t>
      </w:r>
      <w:r w:rsidR="008B3B29">
        <w:t xml:space="preserve"> être</w:t>
      </w:r>
      <w:r w:rsidR="00A65532">
        <w:t xml:space="preserve"> ou par son pass</w:t>
      </w:r>
      <w:r w:rsidR="003C5F70">
        <w:t>é quand bien même il peut en demeurer</w:t>
      </w:r>
      <w:r w:rsidR="00FD5BC6">
        <w:t xml:space="preserve"> l’obligé.</w:t>
      </w:r>
      <w:r w:rsidR="00E340D1">
        <w:t xml:space="preserve"> </w:t>
      </w:r>
      <w:r w:rsidR="00912002">
        <w:t>C’est dire qu’il ne peut s’inventer qu</w:t>
      </w:r>
      <w:r w:rsidR="005D4831">
        <w:t>’en inventant en même temps ce qu’il fait</w:t>
      </w:r>
      <w:r w:rsidR="00963C0A">
        <w:t xml:space="preserve"> de son être ou de son passé »</w:t>
      </w:r>
      <w:r w:rsidR="00963C0A">
        <w:rPr>
          <w:rStyle w:val="Appelnotedebasdep"/>
        </w:rPr>
        <w:footnoteReference w:id="21"/>
      </w:r>
      <w:r w:rsidR="00603A7D">
        <w:t xml:space="preserve">. </w:t>
      </w:r>
      <w:r w:rsidR="00E52412">
        <w:t xml:space="preserve">On ne retrouve donc pas l’idée </w:t>
      </w:r>
      <w:r w:rsidR="00182BA5">
        <w:t>ordinaire d’un sujet politique conçu comme l’auteur identifié</w:t>
      </w:r>
      <w:r w:rsidR="00CB20E8">
        <w:t xml:space="preserve"> de ses actes, autonome et souverain. </w:t>
      </w:r>
      <w:r w:rsidR="002D52D6">
        <w:t>Plutôt que de sujet il faut parler de subjectivation</w:t>
      </w:r>
      <w:r w:rsidR="00804C1D">
        <w:t xml:space="preserve"> qui, par définition</w:t>
      </w:r>
      <w:r w:rsidR="002A393F">
        <w:t>,</w:t>
      </w:r>
      <w:r w:rsidR="00804C1D">
        <w:t xml:space="preserve"> est </w:t>
      </w:r>
      <w:r w:rsidR="002667FF">
        <w:t xml:space="preserve">prise dans </w:t>
      </w:r>
      <w:r w:rsidR="00EB4523">
        <w:t>d</w:t>
      </w:r>
      <w:r w:rsidR="002667FF">
        <w:t xml:space="preserve">es </w:t>
      </w:r>
      <w:r w:rsidR="00EB4523" w:rsidRPr="00EF1528">
        <w:rPr>
          <w:i/>
          <w:iCs/>
        </w:rPr>
        <w:t>rapports</w:t>
      </w:r>
      <w:r w:rsidR="002667FF">
        <w:t xml:space="preserve"> d’action et </w:t>
      </w:r>
      <w:r w:rsidR="00BC41C1">
        <w:t>d’</w:t>
      </w:r>
      <w:r w:rsidR="00EF1528">
        <w:t>interlocution</w:t>
      </w:r>
      <w:r w:rsidR="006B6732">
        <w:t>.</w:t>
      </w:r>
      <w:r w:rsidR="00BC41C1">
        <w:t xml:space="preserve"> </w:t>
      </w:r>
      <w:r w:rsidR="00CE2163">
        <w:t>« </w:t>
      </w:r>
      <w:r w:rsidR="002D52D6">
        <w:t>On dira donc que la</w:t>
      </w:r>
      <w:r w:rsidR="006B6732">
        <w:t xml:space="preserve"> </w:t>
      </w:r>
      <w:r w:rsidR="002D52D6">
        <w:t>subjectivation politique n'est pas la production d'un sujet définissable</w:t>
      </w:r>
      <w:r w:rsidR="007824A9">
        <w:t xml:space="preserve"> </w:t>
      </w:r>
      <w:r w:rsidR="002D52D6">
        <w:t>(en aval du processus)</w:t>
      </w:r>
      <w:r w:rsidR="007824A9">
        <w:t xml:space="preserve">, </w:t>
      </w:r>
      <w:r w:rsidR="002D52D6">
        <w:t>qu'elle n'est pas non plus l'</w:t>
      </w:r>
      <w:r w:rsidR="007824A9">
        <w:t>œuvre</w:t>
      </w:r>
      <w:r w:rsidR="002D52D6">
        <w:t xml:space="preserve"> dudit sujet</w:t>
      </w:r>
      <w:r w:rsidR="00A8401B">
        <w:t xml:space="preserve"> </w:t>
      </w:r>
      <w:r w:rsidR="002D52D6">
        <w:t>(en amont du processus et tout au long de son cours)</w:t>
      </w:r>
      <w:r w:rsidR="00253CB6">
        <w:t> ;</w:t>
      </w:r>
      <w:r w:rsidR="002D52D6">
        <w:t xml:space="preserve"> que sa</w:t>
      </w:r>
      <w:r w:rsidR="00253CB6">
        <w:t xml:space="preserve"> </w:t>
      </w:r>
      <w:r w:rsidR="002D52D6">
        <w:t>dimension et sa signification politiques ont à voir avec ces situations,</w:t>
      </w:r>
      <w:r w:rsidR="004D32CC">
        <w:t xml:space="preserve"> </w:t>
      </w:r>
      <w:r w:rsidR="002D52D6">
        <w:t>ces rapports et ces compositions de rapports par lesquels des êtres se</w:t>
      </w:r>
      <w:r w:rsidR="004D32CC">
        <w:t xml:space="preserve"> </w:t>
      </w:r>
      <w:r w:rsidR="002D52D6">
        <w:t>produisent comme autres que soi, non identiques à soi, en se</w:t>
      </w:r>
      <w:r w:rsidR="007B3310">
        <w:t xml:space="preserve"> </w:t>
      </w:r>
      <w:r w:rsidR="002D52D6">
        <w:t>reconnaissant cependant personnellement engagés dans ces situations</w:t>
      </w:r>
      <w:r w:rsidR="007B3310">
        <w:t xml:space="preserve"> </w:t>
      </w:r>
      <w:r w:rsidR="002D52D6">
        <w:t>qui les déprennent d'eux-mêmes pour mieux les manifester, eux, pour</w:t>
      </w:r>
      <w:r w:rsidR="00785D3F">
        <w:t xml:space="preserve"> </w:t>
      </w:r>
      <w:r w:rsidR="002D52D6">
        <w:t>ce qu'ils disent qu'ils sont, ou mieux, pour les manifester comme ce</w:t>
      </w:r>
      <w:r w:rsidR="00785D3F">
        <w:t xml:space="preserve"> </w:t>
      </w:r>
      <w:r w:rsidR="002D52D6">
        <w:t>qu'ils montrent qu'ils sont du fait de ces rapports extérieurs qui les</w:t>
      </w:r>
      <w:r w:rsidR="00F706B9">
        <w:t xml:space="preserve"> </w:t>
      </w:r>
      <w:r w:rsidR="002D52D6">
        <w:t>font advenir</w:t>
      </w:r>
      <w:r w:rsidR="00F706B9">
        <w:t> »</w:t>
      </w:r>
      <w:r w:rsidR="002929F5">
        <w:rPr>
          <w:rStyle w:val="Appelnotedebasdep"/>
        </w:rPr>
        <w:footnoteReference w:id="22"/>
      </w:r>
      <w:r w:rsidR="002D52D6">
        <w:t>.</w:t>
      </w:r>
      <w:r w:rsidR="00C94E8D">
        <w:t xml:space="preserve"> Ce que Rancière réitère</w:t>
      </w:r>
      <w:r w:rsidR="00713253">
        <w:t xml:space="preserve"> ainsi : </w:t>
      </w:r>
      <w:r w:rsidR="00F65E7B">
        <w:t>« Le lieu du sujet politique est un intervalle</w:t>
      </w:r>
      <w:r w:rsidR="00E26C2F">
        <w:t xml:space="preserve"> ou une faille : un être ensemble comme être</w:t>
      </w:r>
      <w:r w:rsidR="006A3558">
        <w:t>-entre : entre les noms, les identités ou</w:t>
      </w:r>
      <w:r w:rsidR="000C5141">
        <w:t xml:space="preserve"> les cultures »</w:t>
      </w:r>
      <w:r w:rsidR="000C5141">
        <w:rPr>
          <w:rStyle w:val="Appelnotedebasdep"/>
        </w:rPr>
        <w:footnoteReference w:id="23"/>
      </w:r>
      <w:r w:rsidR="00835857">
        <w:t>.</w:t>
      </w:r>
    </w:p>
    <w:p w14:paraId="68385C1C" w14:textId="6BEE5455" w:rsidR="00C96A56" w:rsidRPr="00C96A56" w:rsidRDefault="00C96A56" w:rsidP="00C96A56">
      <w:r w:rsidRPr="00C96A56">
        <w:t xml:space="preserve">Il n’est pas sûr que l’invocation répétée de l’inclusif rende lisibles et substantiels ces deux présupposés à l’intégration : égalité et distinction. </w:t>
      </w:r>
    </w:p>
    <w:p w14:paraId="5532881F" w14:textId="31262E80" w:rsidR="00C96A56" w:rsidRPr="00C96A56" w:rsidRDefault="00C96A56" w:rsidP="00C96A56">
      <w:r w:rsidRPr="00C96A56">
        <w:t xml:space="preserve">Par son implicite spatial ("inclusif" est pensé comme antonyme de "excluant"), le terme d’inclusion réduit le problème de l’intégration à des modèles d’entrée – ou non – dans une entité sociale-historique, alors que le problème est bien davantage celui de l’acceptation de l’étranger dans le monde commun à une </w:t>
      </w:r>
      <w:r w:rsidRPr="00C96A56">
        <w:rPr>
          <w:i/>
          <w:iCs/>
        </w:rPr>
        <w:t>place</w:t>
      </w:r>
      <w:r w:rsidRPr="00C96A56">
        <w:t xml:space="preserve"> qui le reconnait comme participant à la pluralité, non sous la forme d’un "quoi (ou d’un "qu’est-ce que tu es ?") à qui il faut assigner une place correspondant à une supposée définition substantielle et identitaire répondant à cette question, mais sous le forme d’un "qui (es-tu) ?", correspondant à la « condition humaine de la natalité », i.e. comme être du commencement, du nouveau et ainsi sans place ni identité assignées autres que celles « de vivre en étant distinct et unique parmi des égaux » et donc dans une interlocution avec eux. L’intégration est donc un risque, risque qu’on voudrait réduire par un recours à l’inclusif qui, dans une procédure d’enclosure, limite l’entrée dans une entité sociale-historique à l’assignation à une place, à un emplacement.</w:t>
      </w:r>
    </w:p>
    <w:p w14:paraId="0E9CE0F6" w14:textId="20D2B473" w:rsidR="00C96A56" w:rsidRPr="00C96A56" w:rsidRDefault="00C96A56" w:rsidP="00C96A56">
      <w:r w:rsidRPr="00C96A56">
        <w:t>L’action et la parole révèlent l’individu (en tant qu’agent) comme être du commencement. Par elles il introduit de la nouveauté et imprime un tournant à l’histoire, à sa propre histoire ou à l’histoire collective dans la mesure où elle prend place dans un tissu de relations déjà existant « où peuvent retentir leurs conséquences immédiates »</w:t>
      </w:r>
      <w:r w:rsidR="00CA64ED">
        <w:rPr>
          <w:rStyle w:val="Appelnotedebasdep"/>
        </w:rPr>
        <w:footnoteReference w:id="24"/>
      </w:r>
      <w:r w:rsidRPr="00C96A56">
        <w:t xml:space="preserve"> et, deuxième effet, parole et action mettent en relation les individus et l’échange augment</w:t>
      </w:r>
      <w:r w:rsidR="004A7082">
        <w:t>e</w:t>
      </w:r>
      <w:r w:rsidRPr="00C96A56">
        <w:t xml:space="preserve"> le point de vue de chacun du point de vue d’autrui ; où on retrouve ce que Kant établit à propos du </w:t>
      </w:r>
      <w:r w:rsidRPr="00C96A56">
        <w:rPr>
          <w:i/>
          <w:iCs/>
        </w:rPr>
        <w:t>sensus communis</w:t>
      </w:r>
      <w:r w:rsidRPr="00C96A56">
        <w:t>, à savoir, outre « penser par soi-même » et « toujours penser en accord avec soi-même », « penser en se mettant à la place de tout autre », « c’est-à-dire un pouvoir de juger qui, dans sa réflexion, tient compte en pensée (a priori) du mode de représentation de tout autre, pour en quelque sorte comparer son jugement à la raison humaine toute entière »</w:t>
      </w:r>
      <w:r w:rsidR="008F1372">
        <w:rPr>
          <w:rStyle w:val="Appelnotedebasdep"/>
        </w:rPr>
        <w:footnoteReference w:id="25"/>
      </w:r>
      <w:r w:rsidRPr="00C96A56">
        <w:t>.</w:t>
      </w:r>
    </w:p>
    <w:p w14:paraId="1B8C1D11" w14:textId="0B6CA09E" w:rsidR="009B5B8D" w:rsidRPr="002B5C7A" w:rsidRDefault="00CC74C0" w:rsidP="007179AC">
      <w:pPr>
        <w:pStyle w:val="Titre1"/>
      </w:pPr>
      <w:r w:rsidRPr="002B5C7A">
        <w:t xml:space="preserve">Qu’est ce qui peut empêcher </w:t>
      </w:r>
      <w:r w:rsidR="00055FF2" w:rsidRPr="002B5C7A">
        <w:t>l’interpellation</w:t>
      </w:r>
      <w:r w:rsidRPr="002B5C7A">
        <w:t xml:space="preserve"> politique</w:t>
      </w:r>
      <w:r w:rsidR="002B50DB" w:rsidRPr="002B5C7A">
        <w:t> ?</w:t>
      </w:r>
    </w:p>
    <w:p w14:paraId="417C4741" w14:textId="77777777" w:rsidR="00C96A56" w:rsidRPr="00C96A56" w:rsidRDefault="00C96A56" w:rsidP="00C96A56">
      <w:r w:rsidRPr="00C96A56">
        <w:t>Le problème est alors : qu’est ce qui peut empêcher, qu’est ce qui empêche ce jeu de l’intégration et donc qui empêche le « droit d’avoir des droits » ?</w:t>
      </w:r>
    </w:p>
    <w:p w14:paraId="57C65E7B" w14:textId="6A67A804" w:rsidR="00C96A56" w:rsidRDefault="00C96A56" w:rsidP="00C96A56">
      <w:r w:rsidRPr="00C96A56">
        <w:t>La réponse tient en deux points : d’une part, l’extension (en lieu et place du domaine public / politique) du domaine social</w:t>
      </w:r>
      <w:r w:rsidRPr="00C96A56">
        <w:rPr>
          <w:vertAlign w:val="superscript"/>
        </w:rPr>
        <w:footnoteReference w:id="26"/>
      </w:r>
      <w:r w:rsidRPr="00C96A56">
        <w:t xml:space="preserve"> et, d’autre part, la permanence, la persistance d’une pensée systémique de type colonial, distincte des pratiques colonialistes certes, mais systémique dans la définition des dominations et discriminations.</w:t>
      </w:r>
    </w:p>
    <w:p w14:paraId="5E138A4E" w14:textId="2A0C62E0" w:rsidR="006D3ABB" w:rsidRPr="00C96A56" w:rsidRDefault="003D2193" w:rsidP="0024442C">
      <w:pPr>
        <w:pStyle w:val="Titre2"/>
        <w:numPr>
          <w:ilvl w:val="0"/>
          <w:numId w:val="10"/>
        </w:numPr>
      </w:pPr>
      <w:r>
        <w:t>Extension du domaine social</w:t>
      </w:r>
    </w:p>
    <w:p w14:paraId="702374AA" w14:textId="77777777" w:rsidR="00C96A56" w:rsidRPr="00C96A56" w:rsidRDefault="00C96A56" w:rsidP="00C96A56">
      <w:r w:rsidRPr="00C96A56">
        <w:t>En fait, tout se passe comme si un domaine social toujours plus autonome devenait l’unique et véritable objet de réflexion et d’analyse et brouillait la distinction domaine public/domaine privé en phagocytant le domaine public et en réduisant le privé à l’intime – et encore !</w:t>
      </w:r>
    </w:p>
    <w:p w14:paraId="1B3F91C0" w14:textId="4A506A71" w:rsidR="00C96A56" w:rsidRPr="00C96A56" w:rsidRDefault="00C96A56" w:rsidP="00C96A56">
      <w:r w:rsidRPr="00C96A56">
        <w:t>Le domaine social relève de l’apparition du travail comme modalité dominante du domaine public et ce par le développement de l’accumulation capitaliste qui donne au travail l’apparence illusoire d’un monde commun, c’est seulement quand la richesse devint le capital, dont la grande fonction est d’engendrer encore du capital, que la propriété privée égala ou presque la permanence qui était le propre du monde commun à tous les hommes »</w:t>
      </w:r>
      <w:r w:rsidR="006133C5">
        <w:rPr>
          <w:rStyle w:val="Appelnotedebasdep"/>
        </w:rPr>
        <w:footnoteReference w:id="27"/>
      </w:r>
      <w:r w:rsidR="009E1CE4">
        <w:t>.</w:t>
      </w:r>
      <w:r w:rsidRPr="00C96A56">
        <w:t xml:space="preserve"> Et c’est finalement (ou initialement) dans la réflexion sur l’économie que s’origine </w:t>
      </w:r>
      <w:r w:rsidR="00910773">
        <w:t xml:space="preserve">ce qui deviendra un champ disciplinaire </w:t>
      </w:r>
      <w:r w:rsidR="00C716C1">
        <w:t>sous le nom de</w:t>
      </w:r>
      <w:r w:rsidRPr="00C96A56">
        <w:t xml:space="preserve"> sociologie ; pour s’en convaincre il n’est que de se souvenir </w:t>
      </w:r>
      <w:r w:rsidR="00471CD1">
        <w:t>qu’</w:t>
      </w:r>
      <w:r w:rsidRPr="00C96A56">
        <w:t>Adam Smith développe une conception, voire une théorie de la société, théorie de la société qui embarque une réflexion sur le développement spontané du social (et des moyens d’en améliorer les résultats).</w:t>
      </w:r>
    </w:p>
    <w:p w14:paraId="70C72D1E" w14:textId="6EFEF203" w:rsidR="00C96A56" w:rsidRPr="00C96A56" w:rsidRDefault="00C96A56" w:rsidP="00C96A56">
      <w:r w:rsidRPr="00C96A56">
        <w:t xml:space="preserve">Quand le social vient brouiller la distinction domaine public / domaine privé en devenant quasiment le domaine public, deux conséquences s’imposent : d’une part l’activité humaine, </w:t>
      </w:r>
      <w:r w:rsidR="006A6765" w:rsidRPr="00C96A56">
        <w:t>l</w:t>
      </w:r>
      <w:r w:rsidR="006A6765">
        <w:t>’</w:t>
      </w:r>
      <w:r w:rsidR="006A6765" w:rsidRPr="00C96A56">
        <w:t xml:space="preserve">humaine </w:t>
      </w:r>
      <w:r w:rsidRPr="00C96A56">
        <w:t>condition, se lit à travers ce qu’on peut appeler des comportement normés : « de chacun de ses membres, [la société] exige un certain comportement imposant d’innombrables règles qui toutes tendent à normaliser ses membres, à les faire marcher droit, à éliminer les gestes spontanés ou les exploits extraordinaires »</w:t>
      </w:r>
      <w:r w:rsidR="00B13476">
        <w:rPr>
          <w:rStyle w:val="Appelnotedebasdep"/>
        </w:rPr>
        <w:footnoteReference w:id="28"/>
      </w:r>
      <w:r w:rsidRPr="00C96A56">
        <w:t xml:space="preserve"> donc à rabattre toute individu sur le "on", et, d’autre part, ceux qui échappent à la norme, à la règle peuvent alors passer pour asociaux, anormaux et déplacés, donc </w:t>
      </w:r>
      <w:r w:rsidR="003B68FE">
        <w:t>être</w:t>
      </w:r>
      <w:r w:rsidR="00A378A9">
        <w:t xml:space="preserve"> </w:t>
      </w:r>
      <w:r w:rsidRPr="00C96A56">
        <w:t>invisibilisés, voire même déshumanisés. « Le comportement a remplacé l’action comme mode primordial des relations humaines »</w:t>
      </w:r>
      <w:r w:rsidR="001F0CF4">
        <w:rPr>
          <w:rStyle w:val="Appelnotedebasdep"/>
        </w:rPr>
        <w:footnoteReference w:id="29"/>
      </w:r>
      <w:r w:rsidRPr="00C96A56">
        <w:t>.</w:t>
      </w:r>
    </w:p>
    <w:p w14:paraId="241AC4D9" w14:textId="77777777" w:rsidR="00C96A56" w:rsidRPr="00C96A56" w:rsidRDefault="00C96A56" w:rsidP="00C96A56">
      <w:r w:rsidRPr="00C96A56">
        <w:t>Alors, gouverner le social « consiste à organiser le rassemblement des hommes en communauté et leur consentement et repose sur la distribution hiérarchique des places et des fonctions »</w:t>
      </w:r>
      <w:r w:rsidRPr="00C96A56">
        <w:rPr>
          <w:vertAlign w:val="superscript"/>
        </w:rPr>
        <w:footnoteReference w:id="30"/>
      </w:r>
      <w:r w:rsidRPr="00C96A56">
        <w:t xml:space="preserve"> « Le principe de cet être ensemble est simple : il donne à chacun la part qui lui revient selon l'évidence de ce qu'il est, distribue les corps dans l'espace de leur visibilité ou de leur invisibilité et met en concordance les modes de l'être, les modes du faire et les modes du dire qui conviennent à chacun »</w:t>
      </w:r>
      <w:r w:rsidRPr="00C96A56">
        <w:rPr>
          <w:vertAlign w:val="superscript"/>
        </w:rPr>
        <w:footnoteReference w:id="31"/>
      </w:r>
      <w:r w:rsidRPr="00C96A56">
        <w:t>. . On peut appeler ce processus « police », à condition, bien sûr, de ne pas confondre "police" et "appareil policier" au sens répressif et/ou disciplinaire du terme ; « la police n'est pas tant une "disciplinarisation" des corps qu'une règle de leur apparaître, une configuration des occupations et des propriétés des espaces où ces occupations sont distribuées ». « La police est, en son essence, la loi, généralement implicite, qui définit la part ou l'absence de part des parties »</w:t>
      </w:r>
      <w:r w:rsidRPr="00C96A56">
        <w:rPr>
          <w:vertAlign w:val="superscript"/>
        </w:rPr>
        <w:footnoteReference w:id="32"/>
      </w:r>
      <w:r w:rsidRPr="00C96A56">
        <w:t>. La police assure donc la légitimité des mises à l'écart manifestées et effectuées par telle ou telle organisation, gouvernement du social.</w:t>
      </w:r>
    </w:p>
    <w:p w14:paraId="31FE7081" w14:textId="459759FF" w:rsidR="00C96A56" w:rsidRPr="00C96A56" w:rsidRDefault="00C96A56" w:rsidP="00C96A56">
      <w:r w:rsidRPr="00C96A56">
        <w:t>Ainsi tout problème devient un problème technique, un problème social qui peut, qui doit être traité comme tel, un problème organisationnel et non pas politique et une des formes les plus accomplies de cette gestion policière est sans doute la recherche du consensus qui est la modalité par laquelle on définit tout problème politique comme problème technique à résoudre en tenant compte, bien sûr des contraintes objectives, ce qui donne, bien souvent, l’énoncé du consensus en termes de « il reste encore beaucoup à faire, mais on a déjà fait beaucoup », ce qui sous-entend qu’on est sur la bonne voie, la multiplication de statistiques chiffrées le montre bien ! Exemple, quelque peu paradoxal : l’ainsi nommée « école inclusive », alors même que son fonctionnement en fait, sous sa forme actuelle, un outil de sélection et de tri.</w:t>
      </w:r>
    </w:p>
    <w:p w14:paraId="092EDD22" w14:textId="77777777" w:rsidR="00C96A56" w:rsidRPr="00C96A56" w:rsidRDefault="00C96A56" w:rsidP="00C96A56">
      <w:r w:rsidRPr="00C96A56">
        <w:t>Les notions d’intégration et (surtout) d'inclusion n'indexent plus qu’une mise en absence de la politique, au profit d'une recherche de transparence et de consensus, et d'une transformation des « parties du litige en acteurs sociaux, réfléchissant comme loi de leur agir l'identité de la communauté à elle-même »</w:t>
      </w:r>
      <w:r w:rsidRPr="00C96A56">
        <w:rPr>
          <w:vertAlign w:val="superscript"/>
        </w:rPr>
        <w:footnoteReference w:id="33"/>
      </w:r>
      <w:r w:rsidRPr="00C96A56">
        <w:t> ; autrement dit tout se passe comme si, dans le système actuel, marqué finalement par la prévalence du consensus ou du moins de sa recherche, « tout litige devenait le nom d' un problème», que l'on objective, le nom d'intérêts que l'on négocie</w:t>
      </w:r>
      <w:r w:rsidRPr="00C96A56">
        <w:rPr>
          <w:vertAlign w:val="superscript"/>
        </w:rPr>
        <w:footnoteReference w:id="34"/>
      </w:r>
      <w:r w:rsidRPr="00C96A56">
        <w:t>.</w:t>
      </w:r>
    </w:p>
    <w:p w14:paraId="65E613C7" w14:textId="7C07BEEC" w:rsidR="00C96A56" w:rsidRDefault="00C96A56" w:rsidP="00C96A56">
      <w:r w:rsidRPr="00C96A56">
        <w:t>En effet, en présupposant l'inclusion de toutes les parties et de leurs problèmes, le consensus interdit la subjectivisation politique des sans-part ; il leur interdit de « s'inclure comme exclus », sur le mode politique du litige. C'est pourquoi « l’exclusion n'est que l’autre nom du consensus »</w:t>
      </w:r>
      <w:r w:rsidRPr="00C96A56">
        <w:rPr>
          <w:vertAlign w:val="superscript"/>
        </w:rPr>
        <w:footnoteReference w:id="35"/>
      </w:r>
      <w:r w:rsidRPr="00C96A56">
        <w:t>. En allant chercher du côté de la lutte contre l'exclusion pour une inclusion rendant justice des droits de tout individu</w:t>
      </w:r>
      <w:r w:rsidR="00961D67">
        <w:t>,</w:t>
      </w:r>
      <w:r w:rsidRPr="00C96A56">
        <w:t xml:space="preserve"> on </w:t>
      </w:r>
      <w:r w:rsidR="00046C92">
        <w:t>cède</w:t>
      </w:r>
      <w:r w:rsidRPr="00C96A56">
        <w:t xml:space="preserve"> à la plus grande pente de la société policière en dissolvant tout litige dans une problématique de reconnaissance </w:t>
      </w:r>
      <w:r w:rsidR="00320D78">
        <w:t xml:space="preserve">sociale de </w:t>
      </w:r>
      <w:r w:rsidR="002C79F1" w:rsidRPr="00C96A56">
        <w:t>droits</w:t>
      </w:r>
      <w:r w:rsidR="00D017EF" w:rsidRPr="00D017EF">
        <w:t xml:space="preserve"> </w:t>
      </w:r>
      <w:r w:rsidR="00D017EF">
        <w:t>octroyés</w:t>
      </w:r>
      <w:r w:rsidR="002C79F1">
        <w:t>, sans</w:t>
      </w:r>
      <w:r w:rsidR="00363ABA">
        <w:t xml:space="preserve"> se demander ce qui donne le droit d’avoir des droits, donc </w:t>
      </w:r>
      <w:r w:rsidR="004B111A">
        <w:t xml:space="preserve">en réduisant les droits à une organisation </w:t>
      </w:r>
      <w:r w:rsidR="00E42578">
        <w:t>hétéronome de la vie sociale.</w:t>
      </w:r>
    </w:p>
    <w:p w14:paraId="2C9AF248" w14:textId="61B54FA6" w:rsidR="002C79F1" w:rsidRPr="00C96A56" w:rsidRDefault="007436E4" w:rsidP="0024442C">
      <w:pPr>
        <w:pStyle w:val="Titre2"/>
      </w:pPr>
      <w:r>
        <w:t xml:space="preserve">Persistance </w:t>
      </w:r>
      <w:r w:rsidR="00B35775">
        <w:t>d’une pensée coloniale</w:t>
      </w:r>
      <w:r w:rsidR="00206341">
        <w:t xml:space="preserve"> contre émancipation</w:t>
      </w:r>
      <w:r w:rsidR="00812ABA">
        <w:t>.</w:t>
      </w:r>
    </w:p>
    <w:p w14:paraId="46919C7F" w14:textId="77777777" w:rsidR="00C96A56" w:rsidRPr="00C96A56" w:rsidRDefault="00C96A56" w:rsidP="00C96A56">
      <w:r w:rsidRPr="00C96A56">
        <w:t xml:space="preserve">C’est en ce point qu’on croise la problématique de la pensée coloniale, non pas comme justification de politiques colonialistes, mais comme structure de la relation de tutelle au sens même décrit par Kant dans ce texte qu’on hésite à exhiber, parce que peut-être usé tant il est cité, </w:t>
      </w:r>
      <w:r w:rsidRPr="00C96A56">
        <w:rPr>
          <w:i/>
          <w:iCs/>
        </w:rPr>
        <w:t>Qu’est-ce que les lumières ?</w:t>
      </w:r>
      <w:r w:rsidRPr="00C96A56">
        <w:t xml:space="preserve"> </w:t>
      </w:r>
    </w:p>
    <w:p w14:paraId="5B2DA0DB" w14:textId="77777777" w:rsidR="00C96A56" w:rsidRPr="00C96A56" w:rsidRDefault="00C96A56" w:rsidP="00C96A56">
      <w:r w:rsidRPr="00C96A56">
        <w:t xml:space="preserve">Nous ferons allusion à ce que quelqu’un comme Tom Shakespeare analyse dans la prise en compte des sans-part que sont, le plus souvent, les personnes handicapées. </w:t>
      </w:r>
    </w:p>
    <w:p w14:paraId="0080E0E8" w14:textId="02080140" w:rsidR="00C96A56" w:rsidRPr="00C96A56" w:rsidRDefault="00C96A56" w:rsidP="00C96A56">
      <w:r w:rsidRPr="00C96A56">
        <w:t>Il ne suffit pas en effet d'être dans la bienveillance et la bientraitance (souvent invoquées comme conditions de pratiques inclusives, et comme cohérentes avec des pratiques inclusives) pour assurer l'</w:t>
      </w:r>
      <w:r w:rsidRPr="00C96A56">
        <w:rPr>
          <w:i/>
          <w:iCs/>
        </w:rPr>
        <w:t>émancipation</w:t>
      </w:r>
      <w:r w:rsidRPr="00C96A56">
        <w:t xml:space="preserve"> de celles et ceux à qui on s’adresse ; et Tom Shakespeare de noter que « les modèles traditionnels de soins pourraient être conceptualisés sous forme d'</w:t>
      </w:r>
      <w:r w:rsidRPr="00C96A56">
        <w:rPr>
          <w:i/>
          <w:iCs/>
        </w:rPr>
        <w:t>une relation de type colonial</w:t>
      </w:r>
      <w:r w:rsidRPr="00C96A56">
        <w:t>. Les vies des personnes handicapées et des personnes âgées sont colonisées par les fournisseurs de services. [...] . Il y a une tendance à considérer ceux qui reçoivent des soins comme des fardeaux, et à les infantiliser. Le processus de colonisation comprend la façon dont les bénéficiaires des services sont décrits, la façon dont la voix des usagers est ignorée, et la façon dont la question est construite comme un problème social »</w:t>
      </w:r>
      <w:r w:rsidRPr="00C96A56">
        <w:rPr>
          <w:vertAlign w:val="superscript"/>
        </w:rPr>
        <w:footnoteReference w:id="36"/>
      </w:r>
      <w:r w:rsidRPr="00C96A56">
        <w:t>.</w:t>
      </w:r>
    </w:p>
    <w:p w14:paraId="6B40D49C" w14:textId="77777777" w:rsidR="00C96A56" w:rsidRPr="00C96A56" w:rsidRDefault="00C96A56" w:rsidP="00C96A56">
      <w:r w:rsidRPr="00C96A56">
        <w:t>Cette emprise coloniale se manifeste lorsque les personnes en arrivent à reproduire les choix des éducateurs comme étant les leurs et à tenir des discours eux aussi d’abord formulés par les personnes s’occupant d’eux.</w:t>
      </w:r>
    </w:p>
    <w:p w14:paraId="26DF102B" w14:textId="0824A628" w:rsidR="0071418B" w:rsidRDefault="00C96A56" w:rsidP="00C96A56">
      <w:r w:rsidRPr="00C96A56">
        <w:t xml:space="preserve">La prise en compte politique de l’intégration, outre l’inscription du jeu instituant / institué comme composant essentiel de l’action politique, oblige à reconnaître la pertinence de l’accès au monde commun par les individus qui postulent à cette intégration (depuis les ainsi appelés immigrés jusqu’aux personnes handicapées, en passant par tous les sans-part, en passant par tous ceux qui ne comptent pas), ce qui oblige, d’une part, à leur reconnaître des droits politiques, pour leur reconnaître des droits civils – laquelle reconnaissance des droits civils pourrait passer pour une inclusion – et, d’autre part, à reconnaitre, à travers la reconnaissance de la pluralité (égalité et singularité) à tout individu le « droit d’avoir des droits », c’est-à-dire, d’abord, les droit à la parole et à l’action concernant sa situation et donc le droit d’appartenir à une communauté politique qui protège et garantit les </w:t>
      </w:r>
      <w:r w:rsidR="005163FD">
        <w:t xml:space="preserve">droits </w:t>
      </w:r>
      <w:r w:rsidRPr="00C96A56">
        <w:t>individuels et donc le droit à la reconnaissance en tant qu’être humain doté d’une dignité politique.</w:t>
      </w:r>
    </w:p>
    <w:p w14:paraId="50EDE4AD" w14:textId="7F9A119D" w:rsidR="00B636F4" w:rsidRDefault="00134BF2" w:rsidP="00714DE5">
      <w:pPr>
        <w:pStyle w:val="Titre2"/>
      </w:pPr>
      <w:r>
        <w:t>Espace politique et dispositif(s)</w:t>
      </w:r>
    </w:p>
    <w:p w14:paraId="2DD7CBEC" w14:textId="4C364716" w:rsidR="00714DE5" w:rsidRDefault="00D506DC" w:rsidP="004419E0">
      <w:r>
        <w:t>L’erreur serait de se représenter le monde politique</w:t>
      </w:r>
      <w:r w:rsidR="004A16F9">
        <w:t xml:space="preserve"> et son fonctionnement comme irénique</w:t>
      </w:r>
      <w:r w:rsidR="00E31803">
        <w:t xml:space="preserve">. </w:t>
      </w:r>
      <w:r w:rsidR="00F44D7E">
        <w:t xml:space="preserve">Jamais </w:t>
      </w:r>
      <w:r w:rsidR="00874BCA">
        <w:t>le droit d’avoir des droits,</w:t>
      </w:r>
      <w:r w:rsidR="000A39B7">
        <w:t xml:space="preserve"> la garantie des droits individuels</w:t>
      </w:r>
      <w:r w:rsidR="000E33CB">
        <w:t>,</w:t>
      </w:r>
      <w:r w:rsidR="000A39B7">
        <w:t xml:space="preserve"> l</w:t>
      </w:r>
      <w:r w:rsidR="000E33CB">
        <w:t>a</w:t>
      </w:r>
      <w:r w:rsidR="000A39B7">
        <w:t xml:space="preserve"> reconnaissance de dignité ne sont acquis</w:t>
      </w:r>
      <w:r w:rsidR="00413D2C">
        <w:t xml:space="preserve"> mais ils font </w:t>
      </w:r>
      <w:r w:rsidR="000E33CB">
        <w:t>sans cesse l’objet de luttes</w:t>
      </w:r>
      <w:r w:rsidR="00492C91">
        <w:t> – politiques.</w:t>
      </w:r>
    </w:p>
    <w:p w14:paraId="25A50141" w14:textId="7E4C5EC8" w:rsidR="004419E0" w:rsidRPr="004419E0" w:rsidRDefault="00492C91" w:rsidP="004419E0">
      <w:r>
        <w:t>La communauté politique</w:t>
      </w:r>
      <w:r w:rsidR="00BE709D">
        <w:t xml:space="preserve"> doit être pensé</w:t>
      </w:r>
      <w:r w:rsidR="008F6EDB">
        <w:t>e</w:t>
      </w:r>
      <w:r w:rsidR="00BE709D">
        <w:t xml:space="preserve"> en termes de dispositif. </w:t>
      </w:r>
      <w:r w:rsidR="00DC0D8E" w:rsidRPr="00DC0D8E">
        <w:t>«</w:t>
      </w:r>
      <w:r w:rsidR="00154ACD">
        <w:t> </w:t>
      </w:r>
      <w:r w:rsidR="00DC0D8E" w:rsidRPr="00DC0D8E">
        <w:t>Ce que Foucault appelle dispositif, c’est un ensemble hétérogène, comprenant des discours, des institutions, des aménagements architecturaux, des décisions réglementaires, des lois, des mesures administratives, des énoncés scientifiques, des propositions philosophiques, morales, philanthropiques, bref : ce que l’on dit autant que ce que l’on ne dit pas. Le dispositif lui-même est le réseau qu’on établit entre ces éléments</w:t>
      </w:r>
      <w:r w:rsidR="00154ACD">
        <w:t> </w:t>
      </w:r>
      <w:r w:rsidR="00DC0D8E" w:rsidRPr="00DC0D8E">
        <w:t>»</w:t>
      </w:r>
      <w:r w:rsidR="002B0ECA">
        <w:t xml:space="preserve"> résume Gilles Deleuze</w:t>
      </w:r>
      <w:r w:rsidR="000D1C61">
        <w:t xml:space="preserve"> qui ajoute</w:t>
      </w:r>
      <w:r w:rsidR="004B24BC">
        <w:t>, parce que le/</w:t>
      </w:r>
      <w:r w:rsidR="00CC10D2">
        <w:t>la politique n’est pas un diner de gala</w:t>
      </w:r>
      <w:r w:rsidR="00C353CE">
        <w:t>,</w:t>
      </w:r>
      <w:r w:rsidR="000D1C61">
        <w:t xml:space="preserve"> « </w:t>
      </w:r>
      <w:r w:rsidR="00C353CE" w:rsidRPr="00C353CE">
        <w:t>Un dispositif, c’est toujours un agencement, un ensemble multiforme qui répond à une urgence. Il a une fonction stratégique</w:t>
      </w:r>
      <w:r w:rsidR="00154ACD">
        <w:t> </w:t>
      </w:r>
      <w:r w:rsidR="00C353CE" w:rsidRPr="00C353CE">
        <w:t>»</w:t>
      </w:r>
      <w:r w:rsidR="00F86F9C">
        <w:rPr>
          <w:rStyle w:val="Appelnotedebasdep"/>
        </w:rPr>
        <w:footnoteReference w:id="37"/>
      </w:r>
      <w:r w:rsidR="000E537B" w:rsidRPr="00DC0D8E">
        <w:t>.</w:t>
      </w:r>
      <w:r w:rsidR="00AA1E81">
        <w:t xml:space="preserve"> Pour résumer : </w:t>
      </w:r>
      <w:r w:rsidR="000A6B62">
        <w:t>l</w:t>
      </w:r>
      <w:r w:rsidR="004419E0" w:rsidRPr="004419E0">
        <w:t xml:space="preserve">e </w:t>
      </w:r>
      <w:r w:rsidR="004419E0" w:rsidRPr="00EA053A">
        <w:t>dispositif est multiple et hétérogène</w:t>
      </w:r>
      <w:r w:rsidR="00EA053A">
        <w:t> </w:t>
      </w:r>
      <w:r w:rsidR="004419E0" w:rsidRPr="00EA053A">
        <w:t>: il regroupe à la fois du dit (discours, savoirs) et du non-dit (pratiques, architectures, normes)</w:t>
      </w:r>
      <w:r w:rsidR="004A517D">
        <w:t xml:space="preserve"> ; il</w:t>
      </w:r>
      <w:r w:rsidR="004419E0" w:rsidRPr="004419E0">
        <w:t xml:space="preserve"> répond à une fonction stratégique</w:t>
      </w:r>
      <w:r w:rsidR="004A517D">
        <w:t> </w:t>
      </w:r>
      <w:r w:rsidR="004419E0" w:rsidRPr="004419E0">
        <w:t xml:space="preserve">: il n’est pas neutre, il sert à organiser, contrôler, orienter des comportements ou des pensées dans un contexte </w:t>
      </w:r>
      <w:r w:rsidR="00E81607" w:rsidRPr="004419E0">
        <w:t>donné</w:t>
      </w:r>
      <w:r w:rsidR="00B57D31">
        <w:t> </w:t>
      </w:r>
      <w:r w:rsidR="00E81607">
        <w:t>;</w:t>
      </w:r>
      <w:r w:rsidR="00E81607" w:rsidRPr="00E81607">
        <w:t xml:space="preserve"> </w:t>
      </w:r>
      <w:r w:rsidR="00B57D31" w:rsidRPr="007D4758">
        <w:t>i</w:t>
      </w:r>
      <w:r w:rsidR="00E81607" w:rsidRPr="004419E0">
        <w:t>l est historique et mobile</w:t>
      </w:r>
      <w:r w:rsidR="007D4758">
        <w:t> </w:t>
      </w:r>
      <w:r w:rsidR="00E81607" w:rsidRPr="004419E0">
        <w:t>: un dispositif n’est jamais figé</w:t>
      </w:r>
      <w:r w:rsidR="007D4758">
        <w:t> </w:t>
      </w:r>
      <w:r w:rsidR="00E81607" w:rsidRPr="004419E0">
        <w:t>; il évolue, se transforme, disparaît ou se recompose en fonction des mutations sociales et politiques</w:t>
      </w:r>
      <w:r w:rsidR="00D35103">
        <w:t> ;</w:t>
      </w:r>
      <w:r w:rsidR="00301044">
        <w:t xml:space="preserve"> </w:t>
      </w:r>
      <w:r w:rsidR="00243FCB" w:rsidRPr="00243FCB">
        <w:t>i</w:t>
      </w:r>
      <w:r w:rsidR="00D35103" w:rsidRPr="004419E0">
        <w:t xml:space="preserve">l est productif : un dispositif ne fait pas que </w:t>
      </w:r>
      <w:r w:rsidR="008F6EDB">
        <w:t xml:space="preserve">maintenir l’ordre ou même </w:t>
      </w:r>
      <w:r w:rsidR="00D35103" w:rsidRPr="004419E0">
        <w:t>réprimer, il produit des effets, des subjectivités, des savoirs, des agencements.</w:t>
      </w:r>
    </w:p>
    <w:p w14:paraId="69EBE55D" w14:textId="0335364D" w:rsidR="00D21FC8" w:rsidRPr="00D21FC8" w:rsidRDefault="00765C35" w:rsidP="00D22502">
      <w:r>
        <w:t xml:space="preserve">Et </w:t>
      </w:r>
      <w:r w:rsidR="00CC7C19">
        <w:t>si un dispositif dessine plusieurs lignes</w:t>
      </w:r>
      <w:r w:rsidR="00A103B8">
        <w:t xml:space="preserve"> qui font écho au monde politique (</w:t>
      </w:r>
      <w:r w:rsidR="00E31B74" w:rsidRPr="00E31B74">
        <w:t>l</w:t>
      </w:r>
      <w:r w:rsidR="00D21FC8" w:rsidRPr="00E31B74">
        <w:t>igne de visibilités</w:t>
      </w:r>
      <w:r w:rsidR="009D1FBB" w:rsidRPr="00E31B74">
        <w:t xml:space="preserve">, </w:t>
      </w:r>
      <w:r w:rsidR="00E31B74" w:rsidRPr="00E31B74">
        <w:t>l</w:t>
      </w:r>
      <w:r w:rsidR="00D21FC8" w:rsidRPr="00E31B74">
        <w:t>igne d’énoncés</w:t>
      </w:r>
      <w:r w:rsidR="009D1FBB" w:rsidRPr="00E31B74">
        <w:t xml:space="preserve">, </w:t>
      </w:r>
      <w:r w:rsidR="00E31B74" w:rsidRPr="00E31B74">
        <w:t>l</w:t>
      </w:r>
      <w:r w:rsidR="00D21FC8" w:rsidRPr="00E31B74">
        <w:t>igne de pouvoir</w:t>
      </w:r>
      <w:r w:rsidR="00E31B74" w:rsidRPr="00E31B74">
        <w:t>, l</w:t>
      </w:r>
      <w:r w:rsidR="00D21FC8" w:rsidRPr="00E31B74">
        <w:t>igne de subjectivation</w:t>
      </w:r>
      <w:r w:rsidR="00EF4D30">
        <w:t>),</w:t>
      </w:r>
      <w:r w:rsidR="00363E55">
        <w:t xml:space="preserve"> ce qui nous intéresse ici c’est ce que Deleuze appelle</w:t>
      </w:r>
      <w:r w:rsidR="00D22502">
        <w:t xml:space="preserve"> </w:t>
      </w:r>
      <w:r w:rsidR="00D21FC8" w:rsidRPr="00D21FC8">
        <w:t xml:space="preserve">la ligne de subjectivation </w:t>
      </w:r>
      <w:r w:rsidR="00D22502">
        <w:t xml:space="preserve">qui </w:t>
      </w:r>
      <w:r w:rsidR="00D21FC8" w:rsidRPr="00D21FC8">
        <w:t>est celle par laquelle un individu peut échapper aux déterminations, se reconfigurer autrement, inventer une nouvelle manière d’être.</w:t>
      </w:r>
    </w:p>
    <w:p w14:paraId="2BB3018B" w14:textId="5CB871EA" w:rsidR="0082769D" w:rsidRDefault="00F95CA5" w:rsidP="00C96A56">
      <w:r>
        <w:t>C’est</w:t>
      </w:r>
      <w:r w:rsidR="007A7B01">
        <w:t xml:space="preserve"> sur cette ligne qu’on peut lire le processus jamais achevé</w:t>
      </w:r>
      <w:r w:rsidR="00F6005F">
        <w:t xml:space="preserve"> d’une </w:t>
      </w:r>
      <w:r w:rsidR="00F6005F" w:rsidRPr="00BB230A">
        <w:rPr>
          <w:i/>
          <w:iCs/>
        </w:rPr>
        <w:t>émancipation</w:t>
      </w:r>
      <w:r w:rsidR="00F6005F">
        <w:t xml:space="preserve"> d’une identité pré</w:t>
      </w:r>
      <w:r w:rsidR="00064BF8">
        <w:t>-</w:t>
      </w:r>
      <w:r w:rsidR="00F6005F">
        <w:t>donnée</w:t>
      </w:r>
      <w:r w:rsidR="00064BF8">
        <w:t xml:space="preserve">. </w:t>
      </w:r>
      <w:r w:rsidR="00186534">
        <w:t>Par exemple, et c’est seulement un exemple descriptif</w:t>
      </w:r>
      <w:r w:rsidR="00BD47B5">
        <w:t>, un certain</w:t>
      </w:r>
      <w:r w:rsidR="00EC045D">
        <w:t xml:space="preserve"> </w:t>
      </w:r>
      <w:r w:rsidR="00733CE3">
        <w:t xml:space="preserve">nombre d’individus </w:t>
      </w:r>
      <w:r w:rsidR="000C49DA">
        <w:t>ainsi nommés porteurs de trisomie 21</w:t>
      </w:r>
      <w:r w:rsidR="001E4687">
        <w:t>, par ailleurs parfaitement incl</w:t>
      </w:r>
      <w:r w:rsidR="00733CE3">
        <w:t>us (</w:t>
      </w:r>
      <w:r w:rsidR="00152003">
        <w:t>ils ont un travail</w:t>
      </w:r>
      <w:r w:rsidR="002643DC">
        <w:t xml:space="preserve">, </w:t>
      </w:r>
      <w:r w:rsidR="00754910">
        <w:t>un logement, ils sont en couple</w:t>
      </w:r>
      <w:r w:rsidR="005263E8">
        <w:t>…</w:t>
      </w:r>
      <w:r w:rsidR="00754910">
        <w:t>)</w:t>
      </w:r>
      <w:r w:rsidR="00B74BF8">
        <w:t xml:space="preserve"> décident de fonder une association</w:t>
      </w:r>
      <w:r w:rsidR="005263E8">
        <w:t xml:space="preserve"> </w:t>
      </w:r>
      <w:r w:rsidR="002D0F1C">
        <w:t>q</w:t>
      </w:r>
      <w:r w:rsidR="00D67FDA">
        <w:t xml:space="preserve">u’ils décident de nommer </w:t>
      </w:r>
      <w:r w:rsidR="004B6633">
        <w:t>« ensemble citoyens</w:t>
      </w:r>
      <w:r w:rsidR="00EB0098">
        <w:t> !</w:t>
      </w:r>
      <w:r w:rsidR="006C3BFB">
        <w:t> »</w:t>
      </w:r>
      <w:r w:rsidR="00B74BF8">
        <w:t xml:space="preserve"> </w:t>
      </w:r>
      <w:r w:rsidR="00DD442F">
        <w:t xml:space="preserve">pour être reconnus non </w:t>
      </w:r>
      <w:r w:rsidR="00771EF6">
        <w:t xml:space="preserve">comme </w:t>
      </w:r>
      <w:r w:rsidR="003B2287">
        <w:t>"</w:t>
      </w:r>
      <w:r w:rsidR="00771EF6">
        <w:t>triso.</w:t>
      </w:r>
      <w:r w:rsidR="006B632B">
        <w:t>"</w:t>
      </w:r>
      <w:r w:rsidR="00771EF6">
        <w:t xml:space="preserve"> </w:t>
      </w:r>
      <w:r w:rsidR="00E10FDD">
        <w:t>m</w:t>
      </w:r>
      <w:r w:rsidR="00771EF6">
        <w:t>ais comme personnes</w:t>
      </w:r>
      <w:r w:rsidR="003B2287">
        <w:t xml:space="preserve"> </w:t>
      </w:r>
      <w:r w:rsidR="00703019">
        <w:t xml:space="preserve">ayant des avis, </w:t>
      </w:r>
      <w:r w:rsidR="00DD1D28">
        <w:t>des gouts, des revendications, des exigences</w:t>
      </w:r>
      <w:r w:rsidR="00C9113F">
        <w:t xml:space="preserve">, bref comme des </w:t>
      </w:r>
      <w:r w:rsidR="00BE6FE3">
        <w:t>imposées</w:t>
      </w:r>
      <w:r w:rsidR="00C35AF8">
        <w:t xml:space="preserve"> et commence à devenir autre</w:t>
      </w:r>
      <w:r w:rsidR="00450ABD">
        <w:t>, à produire du réel autrement</w:t>
      </w:r>
      <w:r w:rsidR="00FF304F">
        <w:t>, à faire monde autrement.</w:t>
      </w:r>
      <w:r w:rsidR="008870F2">
        <w:t xml:space="preserve"> </w:t>
      </w:r>
      <w:r w:rsidR="0082769D">
        <w:t>Et, bien sûr, cela ne va pas sans risques et pour les individu</w:t>
      </w:r>
      <w:r w:rsidR="00F37C9C">
        <w:t>s et pour la société</w:t>
      </w:r>
      <w:r w:rsidR="000D05C8">
        <w:t xml:space="preserve">, mais </w:t>
      </w:r>
      <w:r w:rsidR="000D05C8" w:rsidRPr="00B1138D">
        <w:rPr>
          <w:i/>
          <w:iCs/>
        </w:rPr>
        <w:t xml:space="preserve">Tant pis </w:t>
      </w:r>
      <w:r w:rsidR="00AB30FD">
        <w:t xml:space="preserve">individus politiques qui peuvent inventer de nouvelles façons d’exister, de penser, d’agir, de résister. La ligne de subjectivation, c’est le moment où quelqu’un se détache de ses identités </w:t>
      </w:r>
      <w:r w:rsidR="000D05C8" w:rsidRPr="00B1138D">
        <w:rPr>
          <w:i/>
          <w:iCs/>
        </w:rPr>
        <w:t>pour les gens fatigués</w:t>
      </w:r>
      <w:r w:rsidR="000D05C8">
        <w:t xml:space="preserve">, pour reprendre </w:t>
      </w:r>
      <w:r w:rsidR="00881004">
        <w:t>un titre de Jacques Rancière</w:t>
      </w:r>
      <w:r w:rsidR="00881004">
        <w:rPr>
          <w:rStyle w:val="Appelnotedebasdep"/>
        </w:rPr>
        <w:footnoteReference w:id="38"/>
      </w:r>
      <w:r>
        <w:t>.</w:t>
      </w:r>
    </w:p>
    <w:p w14:paraId="079FEEFB" w14:textId="67A21FF3" w:rsidR="00B81B51" w:rsidRDefault="00B81B51" w:rsidP="00C96A56">
      <w:r>
        <w:t>Et c’es</w:t>
      </w:r>
      <w:r w:rsidR="00BD3F53">
        <w:t xml:space="preserve">t </w:t>
      </w:r>
      <w:r>
        <w:t>là qu’il est intéressant</w:t>
      </w:r>
      <w:r w:rsidR="00BD3F53">
        <w:t xml:space="preserve"> d’insister sur trois niveau</w:t>
      </w:r>
      <w:r w:rsidR="002B5BF6">
        <w:t>x</w:t>
      </w:r>
      <w:r w:rsidR="00BD3F53">
        <w:t xml:space="preserve"> de </w:t>
      </w:r>
      <w:r w:rsidR="002B5BF6">
        <w:t>reconnaissance</w:t>
      </w:r>
      <w:r w:rsidR="007B43CE">
        <w:t xml:space="preserve">, s’appliquant à </w:t>
      </w:r>
      <w:r w:rsidR="0037136C">
        <w:t>trois</w:t>
      </w:r>
      <w:r w:rsidR="007B43CE">
        <w:t xml:space="preserve"> niveaux d’existence</w:t>
      </w:r>
      <w:r w:rsidR="002B5BF6">
        <w:t xml:space="preserve"> : </w:t>
      </w:r>
      <w:r w:rsidR="0037136C">
        <w:t>un niveau individuel et affectif</w:t>
      </w:r>
      <w:r w:rsidR="00AE108E">
        <w:t xml:space="preserve"> où cette reconnaissance peut vouloir dire</w:t>
      </w:r>
      <w:r w:rsidR="00D840F4">
        <w:t xml:space="preserve"> s’occuper de, prendre soin, un nive</w:t>
      </w:r>
      <w:r w:rsidR="00856274">
        <w:t>au collectif, niveau des droits et des place</w:t>
      </w:r>
      <w:r w:rsidR="00F512D7">
        <w:t>ments où</w:t>
      </w:r>
      <w:r w:rsidR="006710D6">
        <w:t xml:space="preserve"> cette reconnaissance</w:t>
      </w:r>
      <w:r w:rsidR="00575344">
        <w:t xml:space="preserve"> </w:t>
      </w:r>
      <w:r w:rsidR="00342DC5">
        <w:t>vise une autonomie formelle – ces deux premiers niveau</w:t>
      </w:r>
      <w:r w:rsidR="00E61BE7">
        <w:t>x</w:t>
      </w:r>
      <w:r w:rsidR="00342DC5">
        <w:t xml:space="preserve"> </w:t>
      </w:r>
      <w:r w:rsidR="00E61BE7">
        <w:t xml:space="preserve">étant </w:t>
      </w:r>
      <w:r w:rsidR="009A7EC0">
        <w:t xml:space="preserve">possiblement </w:t>
      </w:r>
      <w:r w:rsidR="003A2D85">
        <w:t>produits de pratiques d’inclusion</w:t>
      </w:r>
      <w:r w:rsidR="009A7EC0">
        <w:t>, et un troisième niveau</w:t>
      </w:r>
      <w:r w:rsidR="00350EC9">
        <w:t>, niveau politique</w:t>
      </w:r>
      <w:r w:rsidR="00CA0F19">
        <w:t xml:space="preserve">, </w:t>
      </w:r>
      <w:r w:rsidR="00A75137">
        <w:t xml:space="preserve">qui concerne </w:t>
      </w:r>
      <w:r w:rsidR="004C2C21">
        <w:t xml:space="preserve">la reconnaissance </w:t>
      </w:r>
      <w:r w:rsidR="00604570">
        <w:t>de l’</w:t>
      </w:r>
      <w:r w:rsidR="007B252E">
        <w:t xml:space="preserve">égalité </w:t>
      </w:r>
      <w:r w:rsidR="00583945">
        <w:t>et de la distinction, bref reconnaissance de la pluralité</w:t>
      </w:r>
      <w:r w:rsidR="00E05DFE">
        <w:t xml:space="preserve"> qui peut vouloir dire solidarité.</w:t>
      </w:r>
    </w:p>
    <w:p w14:paraId="1738DA54" w14:textId="6F73A37E" w:rsidR="00C96A56" w:rsidRDefault="00C96A56" w:rsidP="00C96A56">
      <w:r w:rsidRPr="00C96A56">
        <w:t>Il s’agit donc bien de penser l’humaine condition sous l’égide de l’</w:t>
      </w:r>
      <w:r w:rsidRPr="004811E2">
        <w:rPr>
          <w:i/>
          <w:iCs/>
        </w:rPr>
        <w:t>autonomie</w:t>
      </w:r>
      <w:r w:rsidRPr="00C96A56">
        <w:t xml:space="preserve"> (vs maintien dans l’état de minorité), donc de penser par </w:t>
      </w:r>
      <w:r w:rsidR="004811E2" w:rsidRPr="00C96A56">
        <w:t>soi-même</w:t>
      </w:r>
      <w:r w:rsidRPr="00C96A56">
        <w:t xml:space="preserve"> et en cohérence avec soi-même et comme il ne s’agit pas de confondre autonomie et souveraineté individuelle, cette humaine condition nécessite une intégration dans un (des) réseau(x) existant. Cela indexe l’intégration non seulement comme condition de l’émancipation, mais comme effet de l’émancipation, puisque c’est bien de cela qu’il s’agit : d’</w:t>
      </w:r>
      <w:r w:rsidRPr="00206341">
        <w:rPr>
          <w:i/>
          <w:iCs/>
        </w:rPr>
        <w:t>émancipation</w:t>
      </w:r>
      <w:r w:rsidRPr="00C96A56">
        <w:t>, produit d’une décolonisation. Et pour qu’elle puisse être crédible cette décolonisation dépend de deux pratiques, le pardon et la promesse pour répondre à deux caractères de l’action et la parole : l’irréversibilité (ce qui est fait est fait, ce qui est dit est dit) et l’imprévisibilité du nouveau.</w:t>
      </w:r>
    </w:p>
    <w:p w14:paraId="5786C3B4" w14:textId="1CC6FAAE" w:rsidR="00812ABA" w:rsidRPr="008F1ADE" w:rsidRDefault="00944814" w:rsidP="008F1ADE">
      <w:pPr>
        <w:pStyle w:val="Titre2"/>
      </w:pPr>
      <w:r w:rsidRPr="008F1ADE">
        <w:t>Pardon et promesse</w:t>
      </w:r>
    </w:p>
    <w:p w14:paraId="7B1C85F4" w14:textId="4254098A" w:rsidR="00C96A56" w:rsidRPr="00C96A56" w:rsidRDefault="00C96A56" w:rsidP="00C96A56">
      <w:r w:rsidRPr="00C96A56">
        <w:t>Le pardon, quels que soient ses modalités et ses processus, permet de se libérer des conséquences du passé, le pardon « sert à supprimer les actes du passé, dont les "fautes" sont suspendues comme l'épée de Damoclès au-dessus de chaque génération nouvelle »</w:t>
      </w:r>
      <w:r w:rsidR="00944814">
        <w:rPr>
          <w:rStyle w:val="Appelnotedebasdep"/>
        </w:rPr>
        <w:footnoteReference w:id="39"/>
      </w:r>
      <w:r w:rsidRPr="00C96A56">
        <w:t>. Par le pardon, il s’agit de rompre le cycle de la vengeance qui enchaîne les individus dans un cycle interminable d'actions et de réactions, de briser ce cycle et de permettre aux individus de ne pas être prisonniers des conséquences passées. Il s'agit d'une action qui n'est pas conditionnée par le tort subi mais qui permet de sortir de l'esclavage des événements passés ; on permet à la diversité des opinions et des actions de coexister sans être détruite par les conflits passés – restauration de la pluralité. « Si nous n'étions pardonnés, délivrés des conséquences de ce que nous avons fait, notre capacité d'agir serait comme enfermée dans un acte unique dont nous ne pourrions jamais nous relever ; nous resterions à jamais victimes de ses conséquences, pareils à l'apprenti sorcier qui, faute de formule magique, ne pouvait briser le charme ».</w:t>
      </w:r>
    </w:p>
    <w:p w14:paraId="104BDFC0" w14:textId="77777777" w:rsidR="00C96A56" w:rsidRPr="00C96A56" w:rsidRDefault="00C96A56" w:rsidP="00C96A56">
      <w:r w:rsidRPr="00C96A56">
        <w:t>La promesse permet de résister à l'incertitude de l'avenir. Elle crée des "îlots de sécurité" dans l'océan d'incertitude que représente le futur, permettant aux hommes de compter les uns sur les autres et de construire leur monde avec une relative assurance. La promesse est une faculté intersubjective qui lie les individus mutuellement et assure la continuité des relations humaines.</w:t>
      </w:r>
    </w:p>
    <w:p w14:paraId="49D370D6" w14:textId="2CFEDB36" w:rsidR="00C96A56" w:rsidRDefault="00C96A56" w:rsidP="00C96A56">
      <w:r w:rsidRPr="00C96A56">
        <w:t>Remède à l'imprévisibilité, la promesse permet aux hommes de disposer d'une certaine stabilité dans l'avenir. Elle est essentielle pour la constitution de liens politiques et sociaux, tels que les contrats et les alliances. Contre l'imprévisibilité, contre la chaotique incertitude de l'avenir, le remède se trouve dans la faculté de faire et de tenir des promesses. « Se lier par des promesses, sert à disposer, dans cet océan d'incertitude qu'est l'avenir par définition, des îlots de sécurité faute desquels aucune continuité, sans même parler de durée, ne serait possible dans les relations des hommes entre eux »</w:t>
      </w:r>
      <w:r w:rsidR="00003136">
        <w:rPr>
          <w:rStyle w:val="Appelnotedebasdep"/>
        </w:rPr>
        <w:footnoteReference w:id="40"/>
      </w:r>
      <w:r w:rsidRPr="00C96A56">
        <w:t>.</w:t>
      </w:r>
    </w:p>
    <w:p w14:paraId="79845244" w14:textId="77777777" w:rsidR="009B1E59" w:rsidRDefault="009B1E59" w:rsidP="00C96A56"/>
    <w:p w14:paraId="2BC1311E" w14:textId="77777777" w:rsidR="009B1E59" w:rsidRDefault="009B1E59" w:rsidP="00C96A56"/>
    <w:p w14:paraId="2C5E836C" w14:textId="77777777" w:rsidR="009B1E59" w:rsidRDefault="009B1E59" w:rsidP="00C96A56"/>
    <w:p w14:paraId="1191CBCD" w14:textId="57284AFD" w:rsidR="00A14109" w:rsidRPr="00636332" w:rsidRDefault="0019099E" w:rsidP="00C96A56">
      <w:r>
        <w:t>Ceci dit, pas d’ambiguïtés</w:t>
      </w:r>
      <w:r w:rsidR="00A87E46">
        <w:t xml:space="preserve"> ou de mésinterprétations : une société </w:t>
      </w:r>
      <w:r w:rsidR="004E1984">
        <w:t>inclusive plutôt que la négation de « nouveaux venus étrangers</w:t>
      </w:r>
      <w:r w:rsidR="00BE75E7">
        <w:t> » rejetés dans une non-existence civile</w:t>
      </w:r>
      <w:r w:rsidR="004507C0">
        <w:t xml:space="preserve"> par la privation de toute garantie de droits</w:t>
      </w:r>
      <w:r w:rsidR="00F519FC">
        <w:t>. Encore faut-il s’en donner les moyens</w:t>
      </w:r>
      <w:r w:rsidR="00636332">
        <w:t xml:space="preserve"> </w:t>
      </w:r>
      <w:r w:rsidR="00636332">
        <w:rPr>
          <w:i/>
          <w:iCs/>
        </w:rPr>
        <w:t>politiques</w:t>
      </w:r>
      <w:r w:rsidR="00636332">
        <w:t>, moyens politiques qui sont résumés par la promesse</w:t>
      </w:r>
      <w:r w:rsidR="00E459D4">
        <w:t xml:space="preserve"> d’un dispositif</w:t>
      </w:r>
      <w:r w:rsidR="00190B13">
        <w:t xml:space="preserve"> de l’état de droits</w:t>
      </w:r>
      <w:r w:rsidR="00950953">
        <w:t>, i.e. par un dispositif politique appelé</w:t>
      </w:r>
      <w:r w:rsidR="00614083">
        <w:t xml:space="preserve"> démocratie républicaine.</w:t>
      </w:r>
    </w:p>
    <w:p w14:paraId="427B0F27" w14:textId="2449389F" w:rsidR="00F10F15" w:rsidRDefault="00C96A56" w:rsidP="008B57A1">
      <w:r w:rsidRPr="00C96A56">
        <w:t xml:space="preserve">Il est sans doute temps de raisonner </w:t>
      </w:r>
      <w:r w:rsidR="00B752E6" w:rsidRPr="00C96A56">
        <w:t>en termes</w:t>
      </w:r>
      <w:r w:rsidRPr="00C96A56">
        <w:t xml:space="preserve"> d’émancipation plutôt que d’inclusion, voire d’intégration, pour avoir une chance d’éviter la désolation d’un nombre certain d’individus – désolé : privé de sol.</w:t>
      </w:r>
    </w:p>
    <w:sectPr w:rsidR="00F10F15" w:rsidSect="008B6F86">
      <w:headerReference w:type="default" r:id="rId12"/>
      <w:footerReference w:type="default" r:id="rId13"/>
      <w:pgSz w:w="11906" w:h="16838"/>
      <w:pgMar w:top="1134"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5AD91F" w14:textId="77777777" w:rsidR="00C905DF" w:rsidRDefault="00C905DF" w:rsidP="008B32BD">
      <w:pPr>
        <w:spacing w:before="0"/>
      </w:pPr>
      <w:r>
        <w:separator/>
      </w:r>
    </w:p>
  </w:endnote>
  <w:endnote w:type="continuationSeparator" w:id="0">
    <w:p w14:paraId="16759CAD" w14:textId="77777777" w:rsidR="00C905DF" w:rsidRDefault="00C905DF" w:rsidP="008B32BD">
      <w:pPr>
        <w:spacing w:before="0"/>
      </w:pPr>
      <w:r>
        <w:continuationSeparator/>
      </w:r>
    </w:p>
  </w:endnote>
  <w:endnote w:type="continuationNotice" w:id="1">
    <w:p w14:paraId="0D5989DB" w14:textId="77777777" w:rsidR="00C905DF" w:rsidRDefault="00C905DF">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Nova">
    <w:charset w:val="00"/>
    <w:family w:val="swiss"/>
    <w:pitch w:val="variable"/>
    <w:sig w:usb0="0000028F" w:usb1="00000002"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F209C" w14:textId="3BE883AB" w:rsidR="006B5755" w:rsidRPr="00070C07" w:rsidRDefault="00070C07" w:rsidP="00765F67">
    <w:pPr>
      <w:pStyle w:val="Pieddepage"/>
      <w:jc w:val="right"/>
      <w:rPr>
        <w:rFonts w:ascii="Arial Narrow" w:hAnsi="Arial Narrow"/>
        <w:sz w:val="20"/>
        <w:szCs w:val="20"/>
      </w:rPr>
    </w:pPr>
    <w:r w:rsidRPr="00070C07">
      <w:rPr>
        <w:rFonts w:ascii="Arial Narrow" w:hAnsi="Arial Narrow"/>
        <w:sz w:val="20"/>
        <w:szCs w:val="20"/>
      </w:rPr>
      <w:t>Yves Bruchon (Mars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8A3073" w14:textId="77777777" w:rsidR="00C905DF" w:rsidRDefault="00C905DF" w:rsidP="008B32BD">
      <w:pPr>
        <w:spacing w:before="0"/>
      </w:pPr>
      <w:r>
        <w:separator/>
      </w:r>
    </w:p>
  </w:footnote>
  <w:footnote w:type="continuationSeparator" w:id="0">
    <w:p w14:paraId="47A5E4EF" w14:textId="77777777" w:rsidR="00C905DF" w:rsidRDefault="00C905DF" w:rsidP="008B32BD">
      <w:pPr>
        <w:spacing w:before="0"/>
      </w:pPr>
      <w:r>
        <w:continuationSeparator/>
      </w:r>
    </w:p>
  </w:footnote>
  <w:footnote w:type="continuationNotice" w:id="1">
    <w:p w14:paraId="09372D5E" w14:textId="77777777" w:rsidR="00C905DF" w:rsidRDefault="00C905DF">
      <w:pPr>
        <w:spacing w:before="0"/>
      </w:pPr>
    </w:p>
  </w:footnote>
  <w:footnote w:id="2">
    <w:p w14:paraId="2FFA935C" w14:textId="4C018E6C" w:rsidR="00936DAF" w:rsidRPr="006C5D37" w:rsidRDefault="00936DAF">
      <w:pPr>
        <w:pStyle w:val="Notedebasdepage"/>
        <w:rPr>
          <w:b/>
          <w:bCs/>
        </w:rPr>
      </w:pPr>
      <w:r>
        <w:rPr>
          <w:rStyle w:val="Appelnotedebasdep"/>
        </w:rPr>
        <w:footnoteRef/>
      </w:r>
      <w:r>
        <w:t xml:space="preserve"> </w:t>
      </w:r>
      <w:hyperlink r:id="rId1" w:history="1">
        <w:r w:rsidR="00C71F83" w:rsidRPr="009C233A">
          <w:rPr>
            <w:rStyle w:val="Lienhypertexte"/>
            <w:color w:val="auto"/>
            <w:u w:val="none"/>
          </w:rPr>
          <w:t>Michel Wieviorka</w:t>
        </w:r>
      </w:hyperlink>
      <w:r w:rsidR="009C233A">
        <w:t>,</w:t>
      </w:r>
      <w:r w:rsidR="004E1A7C" w:rsidRPr="00CB7604">
        <w:rPr>
          <w:rFonts w:ascii="Georgia" w:eastAsia="Times New Roman" w:hAnsi="Georgia" w:cs="Times New Roman"/>
          <w:kern w:val="36"/>
          <w:lang w:eastAsia="fr-FR"/>
          <w14:ligatures w14:val="none"/>
        </w:rPr>
        <w:t xml:space="preserve"> </w:t>
      </w:r>
      <w:r w:rsidR="004E1A7C" w:rsidRPr="009732A7">
        <w:rPr>
          <w:i/>
          <w:iCs/>
        </w:rPr>
        <w:t>L'intégration : un concept en difficulté</w:t>
      </w:r>
      <w:r w:rsidR="009732A7">
        <w:t>,</w:t>
      </w:r>
      <w:r w:rsidR="00351E4F">
        <w:t xml:space="preserve"> </w:t>
      </w:r>
      <w:r w:rsidR="00B91367">
        <w:t>in</w:t>
      </w:r>
      <w:r w:rsidR="00B91367" w:rsidRPr="009732A7">
        <w:rPr>
          <w:i/>
          <w:iCs/>
        </w:rPr>
        <w:t xml:space="preserve"> Cahiers</w:t>
      </w:r>
      <w:r w:rsidR="00351E4F" w:rsidRPr="009732A7">
        <w:rPr>
          <w:i/>
          <w:iCs/>
        </w:rPr>
        <w:t xml:space="preserve"> internationaux de sociologie</w:t>
      </w:r>
      <w:r w:rsidR="00351E4F">
        <w:t>,</w:t>
      </w:r>
      <w:r w:rsidR="00E17B00">
        <w:t xml:space="preserve"> </w:t>
      </w:r>
      <w:r w:rsidR="00E17B00" w:rsidRPr="00E17B00">
        <w:t>2008/2 n° 125</w:t>
      </w:r>
      <w:r w:rsidR="00140D1D">
        <w:t xml:space="preserve">, p </w:t>
      </w:r>
      <w:r w:rsidR="00140D1D" w:rsidRPr="00140D1D">
        <w:t>221 à 240</w:t>
      </w:r>
      <w:r w:rsidR="00313D52">
        <w:t>.</w:t>
      </w:r>
    </w:p>
  </w:footnote>
  <w:footnote w:id="3">
    <w:p w14:paraId="7C93DC09" w14:textId="2A159F4A" w:rsidR="0061664F" w:rsidRDefault="0061664F">
      <w:pPr>
        <w:pStyle w:val="Notedebasdepage"/>
      </w:pPr>
      <w:r>
        <w:rPr>
          <w:rStyle w:val="Appelnotedebasdep"/>
        </w:rPr>
        <w:footnoteRef/>
      </w:r>
      <w:r>
        <w:t xml:space="preserve"> </w:t>
      </w:r>
      <w:r w:rsidR="00F60284">
        <w:t>Nous nous accordons cette facilité de référence à Cornélius Castoriadis pour éviter de dire "société" ou "social" trop tôt !</w:t>
      </w:r>
    </w:p>
  </w:footnote>
  <w:footnote w:id="4">
    <w:p w14:paraId="448AC0FC" w14:textId="4BA25133" w:rsidR="00A92729" w:rsidRDefault="00A92729">
      <w:pPr>
        <w:pStyle w:val="Notedebasdepage"/>
      </w:pPr>
      <w:r>
        <w:rPr>
          <w:rStyle w:val="Appelnotedebasdep"/>
        </w:rPr>
        <w:footnoteRef/>
      </w:r>
      <w:r>
        <w:t xml:space="preserve"> </w:t>
      </w:r>
      <w:r w:rsidR="00923C60">
        <w:t>Hannah Arendt</w:t>
      </w:r>
      <w:r w:rsidR="00EB2273">
        <w:t xml:space="preserve">, </w:t>
      </w:r>
      <w:r w:rsidR="00EB2273" w:rsidRPr="00847F18">
        <w:rPr>
          <w:i/>
          <w:iCs/>
        </w:rPr>
        <w:t>Condition de l’homme moderne</w:t>
      </w:r>
      <w:r w:rsidR="000747E0">
        <w:t xml:space="preserve"> </w:t>
      </w:r>
      <w:r w:rsidR="008E2FB1">
        <w:t>(1958</w:t>
      </w:r>
      <w:r w:rsidR="002E23FA">
        <w:t>)</w:t>
      </w:r>
      <w:r w:rsidR="00F91EB5">
        <w:t xml:space="preserve">, </w:t>
      </w:r>
      <w:r w:rsidR="00E1735A">
        <w:t xml:space="preserve">Quarto Gallimard, </w:t>
      </w:r>
      <w:r w:rsidR="00847F18">
        <w:t>2012, p 66.</w:t>
      </w:r>
    </w:p>
  </w:footnote>
  <w:footnote w:id="5">
    <w:p w14:paraId="7A6478F1" w14:textId="50F06D1B" w:rsidR="004A7C7F" w:rsidRDefault="004A7C7F">
      <w:pPr>
        <w:pStyle w:val="Notedebasdepage"/>
      </w:pPr>
      <w:r>
        <w:rPr>
          <w:rStyle w:val="Appelnotedebasdep"/>
        </w:rPr>
        <w:footnoteRef/>
      </w:r>
      <w:r>
        <w:t xml:space="preserve"> </w:t>
      </w:r>
      <w:r w:rsidR="00641EE2">
        <w:t>École</w:t>
      </w:r>
      <w:r>
        <w:t xml:space="preserve"> forcément publique, puisqu’un monde commun est forcément du domaine public</w:t>
      </w:r>
      <w:r w:rsidR="00641EE2">
        <w:t>, alors que l’éducation familiale ou communautaire relève du domaine privé.</w:t>
      </w:r>
    </w:p>
  </w:footnote>
  <w:footnote w:id="6">
    <w:p w14:paraId="0282039E" w14:textId="2415DF83" w:rsidR="0028384F" w:rsidRDefault="0028384F">
      <w:pPr>
        <w:pStyle w:val="Notedebasdepage"/>
      </w:pPr>
      <w:r>
        <w:rPr>
          <w:rStyle w:val="Appelnotedebasdep"/>
        </w:rPr>
        <w:footnoteRef/>
      </w:r>
      <w:r>
        <w:t xml:space="preserve"> </w:t>
      </w:r>
      <w:r w:rsidR="00E82FF1" w:rsidRPr="00E82FF1">
        <w:t>Hannah Arendt</w:t>
      </w:r>
      <w:r w:rsidR="00F40B15">
        <w:t>,</w:t>
      </w:r>
      <w:r w:rsidR="00E82FF1" w:rsidRPr="00E82FF1">
        <w:t xml:space="preserve"> </w:t>
      </w:r>
      <w:r w:rsidR="00E82FF1" w:rsidRPr="005A5C8E">
        <w:rPr>
          <w:i/>
          <w:iCs/>
        </w:rPr>
        <w:t>La crise de l’éducation</w:t>
      </w:r>
      <w:r w:rsidR="00E82FF1">
        <w:t xml:space="preserve"> (1958), in </w:t>
      </w:r>
      <w:r w:rsidR="00E82FF1" w:rsidRPr="005A5C8E">
        <w:rPr>
          <w:i/>
          <w:iCs/>
        </w:rPr>
        <w:t>La crise de la culture</w:t>
      </w:r>
      <w:r w:rsidR="00E82FF1">
        <w:t>, p 223-252, Folio essais, 2023</w:t>
      </w:r>
      <w:r w:rsidR="00F40B15">
        <w:t>,</w:t>
      </w:r>
      <w:r w:rsidR="00962795">
        <w:t xml:space="preserve"> </w:t>
      </w:r>
      <w:r w:rsidR="00F40B15">
        <w:t>p 229</w:t>
      </w:r>
      <w:r w:rsidR="00962795">
        <w:t>.</w:t>
      </w:r>
    </w:p>
  </w:footnote>
  <w:footnote w:id="7">
    <w:p w14:paraId="7142179D" w14:textId="3EE43D68" w:rsidR="005553D7" w:rsidRDefault="005553D7">
      <w:pPr>
        <w:pStyle w:val="Notedebasdepage"/>
      </w:pPr>
      <w:r>
        <w:rPr>
          <w:rStyle w:val="Appelnotedebasdep"/>
        </w:rPr>
        <w:footnoteRef/>
      </w:r>
      <w:r>
        <w:t xml:space="preserve"> </w:t>
      </w:r>
      <w:r w:rsidR="00117C52" w:rsidRPr="00117C52">
        <w:t>Hannah Arendt</w:t>
      </w:r>
      <w:r w:rsidR="00117C52">
        <w:t xml:space="preserve">, </w:t>
      </w:r>
      <w:r w:rsidR="00117C52" w:rsidRPr="007D4D32">
        <w:rPr>
          <w:i/>
          <w:iCs/>
        </w:rPr>
        <w:t>Condition de l’homme moderne</w:t>
      </w:r>
      <w:r w:rsidR="00117C52">
        <w:t xml:space="preserve">, </w:t>
      </w:r>
      <w:r w:rsidR="00B2009C" w:rsidRPr="007D4D32">
        <w:rPr>
          <w:i/>
          <w:iCs/>
        </w:rPr>
        <w:t>op. cité</w:t>
      </w:r>
      <w:r w:rsidR="00B2009C">
        <w:t>, p 103</w:t>
      </w:r>
      <w:r w:rsidR="007D4D32">
        <w:t>.</w:t>
      </w:r>
    </w:p>
  </w:footnote>
  <w:footnote w:id="8">
    <w:p w14:paraId="439A6C09" w14:textId="422A662B" w:rsidR="002C34E9" w:rsidRPr="002C3B79" w:rsidRDefault="002C34E9">
      <w:pPr>
        <w:pStyle w:val="Notedebasdepage"/>
      </w:pPr>
      <w:r>
        <w:rPr>
          <w:rStyle w:val="Appelnotedebasdep"/>
        </w:rPr>
        <w:footnoteRef/>
      </w:r>
      <w:r>
        <w:t xml:space="preserve"> </w:t>
      </w:r>
      <w:r w:rsidR="00A3121E">
        <w:t xml:space="preserve">Voir </w:t>
      </w:r>
      <w:r w:rsidR="007D4D32" w:rsidRPr="005A5C8E">
        <w:rPr>
          <w:i/>
          <w:iCs/>
        </w:rPr>
        <w:t>La crise de l’éducation</w:t>
      </w:r>
      <w:r w:rsidR="002C3B79">
        <w:rPr>
          <w:i/>
          <w:iCs/>
        </w:rPr>
        <w:t>.</w:t>
      </w:r>
    </w:p>
  </w:footnote>
  <w:footnote w:id="9">
    <w:p w14:paraId="2100B688" w14:textId="1FCC9841" w:rsidR="006241C7" w:rsidRPr="008223B2" w:rsidRDefault="006241C7">
      <w:pPr>
        <w:pStyle w:val="Notedebasdepage"/>
      </w:pPr>
      <w:r>
        <w:rPr>
          <w:rStyle w:val="Appelnotedebasdep"/>
        </w:rPr>
        <w:footnoteRef/>
      </w:r>
      <w:r>
        <w:t xml:space="preserve"> </w:t>
      </w:r>
      <w:r w:rsidR="00672750" w:rsidRPr="00672750">
        <w:t xml:space="preserve">Hannah Arendt, </w:t>
      </w:r>
      <w:r w:rsidR="00672750" w:rsidRPr="00672750">
        <w:rPr>
          <w:i/>
          <w:iCs/>
        </w:rPr>
        <w:t>Condition de l’homme moderne</w:t>
      </w:r>
      <w:r w:rsidR="00672750" w:rsidRPr="00672750">
        <w:t xml:space="preserve">, </w:t>
      </w:r>
      <w:r w:rsidR="00672750" w:rsidRPr="00672750">
        <w:rPr>
          <w:i/>
          <w:iCs/>
        </w:rPr>
        <w:t>op. cité</w:t>
      </w:r>
      <w:r w:rsidR="00672750">
        <w:rPr>
          <w:i/>
          <w:iCs/>
        </w:rPr>
        <w:t xml:space="preserve">, </w:t>
      </w:r>
      <w:r w:rsidR="008223B2">
        <w:t>p 101.</w:t>
      </w:r>
    </w:p>
  </w:footnote>
  <w:footnote w:id="10">
    <w:p w14:paraId="2477422D" w14:textId="3573A37D" w:rsidR="00A669A2" w:rsidRDefault="00A669A2">
      <w:pPr>
        <w:pStyle w:val="Notedebasdepage"/>
      </w:pPr>
      <w:r>
        <w:rPr>
          <w:rStyle w:val="Appelnotedebasdep"/>
        </w:rPr>
        <w:footnoteRef/>
      </w:r>
      <w:r>
        <w:t xml:space="preserve"> </w:t>
      </w:r>
      <w:r w:rsidRPr="000504CE">
        <w:rPr>
          <w:i/>
          <w:iCs/>
        </w:rPr>
        <w:t>Ibidem</w:t>
      </w:r>
      <w:r w:rsidR="000504CE">
        <w:t>.</w:t>
      </w:r>
    </w:p>
  </w:footnote>
  <w:footnote w:id="11">
    <w:p w14:paraId="6AC3F45D" w14:textId="536DA361" w:rsidR="00BC0723" w:rsidRDefault="00BC0723">
      <w:pPr>
        <w:pStyle w:val="Notedebasdepage"/>
      </w:pPr>
      <w:r>
        <w:rPr>
          <w:rStyle w:val="Appelnotedebasdep"/>
        </w:rPr>
        <w:footnoteRef/>
      </w:r>
      <w:r>
        <w:t xml:space="preserve"> </w:t>
      </w:r>
      <w:r w:rsidR="00C62442" w:rsidRPr="00C62442">
        <w:t>Hannah Arendt</w:t>
      </w:r>
      <w:r w:rsidR="00C62442">
        <w:t xml:space="preserve">, </w:t>
      </w:r>
      <w:r w:rsidR="00C62442" w:rsidRPr="00D55FCC">
        <w:rPr>
          <w:i/>
          <w:iCs/>
        </w:rPr>
        <w:t>Q</w:t>
      </w:r>
      <w:r w:rsidR="0053743D" w:rsidRPr="00D55FCC">
        <w:rPr>
          <w:i/>
          <w:iCs/>
        </w:rPr>
        <w:t>u</w:t>
      </w:r>
      <w:r w:rsidR="00C62442" w:rsidRPr="00D55FCC">
        <w:rPr>
          <w:i/>
          <w:iCs/>
        </w:rPr>
        <w:t>’</w:t>
      </w:r>
      <w:r w:rsidR="00D3578B" w:rsidRPr="00D55FCC">
        <w:rPr>
          <w:i/>
          <w:iCs/>
        </w:rPr>
        <w:t>est-ce</w:t>
      </w:r>
      <w:r w:rsidR="00C62442" w:rsidRPr="00D55FCC">
        <w:rPr>
          <w:i/>
          <w:iCs/>
        </w:rPr>
        <w:t xml:space="preserve"> que la </w:t>
      </w:r>
      <w:r w:rsidR="0053743D" w:rsidRPr="00D55FCC">
        <w:rPr>
          <w:i/>
          <w:iCs/>
        </w:rPr>
        <w:t>politique</w:t>
      </w:r>
      <w:r w:rsidR="00D3578B" w:rsidRPr="00D55FCC">
        <w:rPr>
          <w:i/>
          <w:iCs/>
        </w:rPr>
        <w:t> ?</w:t>
      </w:r>
      <w:r w:rsidR="00D3578B">
        <w:t xml:space="preserve">, </w:t>
      </w:r>
      <w:r w:rsidR="00C863E6">
        <w:t>(1950)</w:t>
      </w:r>
      <w:r w:rsidR="005313D5">
        <w:t xml:space="preserve">, </w:t>
      </w:r>
      <w:r w:rsidR="00891A85">
        <w:t>Éditions</w:t>
      </w:r>
      <w:r w:rsidR="00486451">
        <w:t xml:space="preserve"> du S</w:t>
      </w:r>
      <w:r w:rsidR="00891A85">
        <w:t xml:space="preserve">euil, </w:t>
      </w:r>
      <w:r w:rsidR="005313D5">
        <w:t>Poin</w:t>
      </w:r>
      <w:r w:rsidR="00A44CE0">
        <w:t>ts, essais</w:t>
      </w:r>
      <w:r w:rsidR="00891A85">
        <w:t xml:space="preserve">, </w:t>
      </w:r>
      <w:r w:rsidR="00D55FCC">
        <w:t>1995, p 39-40.</w:t>
      </w:r>
    </w:p>
  </w:footnote>
  <w:footnote w:id="12">
    <w:p w14:paraId="503BDE3A" w14:textId="3318433B" w:rsidR="00712A3E" w:rsidRPr="00712A3E" w:rsidRDefault="00712A3E">
      <w:pPr>
        <w:pStyle w:val="Notedebasdepage"/>
      </w:pPr>
      <w:r>
        <w:rPr>
          <w:rStyle w:val="Appelnotedebasdep"/>
        </w:rPr>
        <w:footnoteRef/>
      </w:r>
      <w:r>
        <w:t xml:space="preserve"> </w:t>
      </w:r>
      <w:r w:rsidRPr="00712A3E">
        <w:t xml:space="preserve">Hannah Arendt, </w:t>
      </w:r>
      <w:r w:rsidRPr="00712A3E">
        <w:rPr>
          <w:i/>
          <w:iCs/>
        </w:rPr>
        <w:t>Condition de l’homme moderne</w:t>
      </w:r>
      <w:r w:rsidRPr="00712A3E">
        <w:t xml:space="preserve">, </w:t>
      </w:r>
      <w:r w:rsidRPr="00712A3E">
        <w:rPr>
          <w:i/>
          <w:iCs/>
        </w:rPr>
        <w:t>op. cité</w:t>
      </w:r>
      <w:r>
        <w:rPr>
          <w:i/>
          <w:iCs/>
        </w:rPr>
        <w:t xml:space="preserve">, </w:t>
      </w:r>
      <w:r>
        <w:t xml:space="preserve">p </w:t>
      </w:r>
      <w:r w:rsidR="00F977E9">
        <w:t>154.</w:t>
      </w:r>
    </w:p>
  </w:footnote>
  <w:footnote w:id="13">
    <w:p w14:paraId="17089359" w14:textId="45CD0C6A" w:rsidR="00B10411" w:rsidRPr="00AB706E" w:rsidRDefault="00B10411">
      <w:pPr>
        <w:pStyle w:val="Notedebasdepage"/>
      </w:pPr>
      <w:r>
        <w:rPr>
          <w:rStyle w:val="Appelnotedebasdep"/>
        </w:rPr>
        <w:footnoteRef/>
      </w:r>
      <w:r>
        <w:t xml:space="preserve"> </w:t>
      </w:r>
      <w:r w:rsidR="006724CA">
        <w:t xml:space="preserve">Ce que </w:t>
      </w:r>
      <w:r w:rsidR="00580B65">
        <w:t xml:space="preserve">Martin </w:t>
      </w:r>
      <w:r w:rsidR="004A216D">
        <w:t>Heidegger</w:t>
      </w:r>
      <w:r w:rsidR="006724CA" w:rsidRPr="006724CA">
        <w:t xml:space="preserve"> appelle la « dictature du on », qu’il explicite ainsi : « On déploie sa véritable dictature. Nous nous réjouissons comme on se réjouit ; nous lisons, nous voyons et nous jugeons de la littérature et de l’art comme on voit et juge ; plus encore nous nous séparons de la </w:t>
      </w:r>
      <w:r w:rsidR="002977A2">
        <w:t>"</w:t>
      </w:r>
      <w:r w:rsidR="006724CA" w:rsidRPr="006724CA">
        <w:t>masse</w:t>
      </w:r>
      <w:r w:rsidR="002977A2">
        <w:t>"</w:t>
      </w:r>
      <w:r w:rsidR="006724CA" w:rsidRPr="006724CA">
        <w:t xml:space="preserve"> comme on s’en sépare ; nous nous </w:t>
      </w:r>
      <w:r w:rsidR="00074DA1">
        <w:t>"</w:t>
      </w:r>
      <w:r w:rsidR="006724CA" w:rsidRPr="006724CA">
        <w:t>indignons</w:t>
      </w:r>
      <w:r w:rsidR="00074DA1">
        <w:t>"</w:t>
      </w:r>
      <w:r w:rsidR="006724CA" w:rsidRPr="006724CA">
        <w:t xml:space="preserve"> de ce dont on s’indigne ». Et alors « comme le On pré-donne tout jugement et toute décision, il ôte à chaque fois [à l’homme] la responsabilité »</w:t>
      </w:r>
      <w:r w:rsidR="00124A6D">
        <w:t xml:space="preserve"> in </w:t>
      </w:r>
      <w:r w:rsidR="00124A6D" w:rsidRPr="00AB706E">
        <w:rPr>
          <w:i/>
          <w:iCs/>
        </w:rPr>
        <w:t>Etre et temps</w:t>
      </w:r>
      <w:r w:rsidR="00AB706E">
        <w:t xml:space="preserve"> (</w:t>
      </w:r>
      <w:r w:rsidR="00775AA8">
        <w:t>1927).</w:t>
      </w:r>
    </w:p>
  </w:footnote>
  <w:footnote w:id="14">
    <w:p w14:paraId="6B22A6EA" w14:textId="2D330DCF" w:rsidR="00124A6D" w:rsidRPr="00124A6D" w:rsidRDefault="00124A6D">
      <w:pPr>
        <w:pStyle w:val="Notedebasdepage"/>
      </w:pPr>
      <w:r>
        <w:rPr>
          <w:rStyle w:val="Appelnotedebasdep"/>
        </w:rPr>
        <w:footnoteRef/>
      </w:r>
      <w:r>
        <w:t xml:space="preserve"> </w:t>
      </w:r>
      <w:r w:rsidRPr="00124A6D">
        <w:t xml:space="preserve">Hannah Arendt, </w:t>
      </w:r>
      <w:r w:rsidRPr="00124A6D">
        <w:rPr>
          <w:i/>
          <w:iCs/>
        </w:rPr>
        <w:t>Condition de l’homme moderne</w:t>
      </w:r>
      <w:r w:rsidRPr="00124A6D">
        <w:t xml:space="preserve">, </w:t>
      </w:r>
      <w:r w:rsidRPr="00124A6D">
        <w:rPr>
          <w:i/>
          <w:iCs/>
        </w:rPr>
        <w:t>op. cité</w:t>
      </w:r>
      <w:r>
        <w:t>, p</w:t>
      </w:r>
      <w:r w:rsidR="00775AA8">
        <w:t xml:space="preserve"> 105</w:t>
      </w:r>
      <w:r w:rsidR="004C0BC5">
        <w:t>.</w:t>
      </w:r>
    </w:p>
  </w:footnote>
  <w:footnote w:id="15">
    <w:p w14:paraId="7116AFBB" w14:textId="1A17FBF0" w:rsidR="001812F6" w:rsidRDefault="001812F6">
      <w:pPr>
        <w:pStyle w:val="Notedebasdepage"/>
      </w:pPr>
      <w:r>
        <w:rPr>
          <w:rStyle w:val="Appelnotedebasdep"/>
        </w:rPr>
        <w:footnoteRef/>
      </w:r>
      <w:r>
        <w:t xml:space="preserve"> </w:t>
      </w:r>
      <w:r w:rsidR="001B7FC7" w:rsidRPr="001B7FC7">
        <w:rPr>
          <w:i/>
          <w:iCs/>
        </w:rPr>
        <w:t>Ibidem</w:t>
      </w:r>
      <w:r w:rsidR="001B7FC7">
        <w:t>.</w:t>
      </w:r>
    </w:p>
  </w:footnote>
  <w:footnote w:id="16">
    <w:p w14:paraId="0753637A" w14:textId="1A05C083" w:rsidR="00DB5751" w:rsidRDefault="00DB5751">
      <w:pPr>
        <w:pStyle w:val="Notedebasdepage"/>
      </w:pPr>
      <w:r>
        <w:rPr>
          <w:rStyle w:val="Appelnotedebasdep"/>
        </w:rPr>
        <w:footnoteRef/>
      </w:r>
      <w:r>
        <w:t xml:space="preserve"> </w:t>
      </w:r>
      <w:r w:rsidRPr="00DB5751">
        <w:t>Dictionnaire de l’Académie française, 9</w:t>
      </w:r>
      <w:r w:rsidRPr="00DB5751">
        <w:rPr>
          <w:vertAlign w:val="superscript"/>
        </w:rPr>
        <w:t>e</w:t>
      </w:r>
      <w:r w:rsidRPr="00DB5751">
        <w:t> édition (actuelle)</w:t>
      </w:r>
      <w:r>
        <w:t>.</w:t>
      </w:r>
    </w:p>
  </w:footnote>
  <w:footnote w:id="17">
    <w:p w14:paraId="43157364" w14:textId="3C97AB7A" w:rsidR="00C62B4E" w:rsidRPr="00134D23" w:rsidRDefault="00C62B4E">
      <w:pPr>
        <w:pStyle w:val="Notedebasdepage"/>
      </w:pPr>
      <w:r>
        <w:rPr>
          <w:rStyle w:val="Appelnotedebasdep"/>
        </w:rPr>
        <w:footnoteRef/>
      </w:r>
      <w:r>
        <w:t xml:space="preserve"> </w:t>
      </w:r>
      <w:r w:rsidRPr="00C62B4E">
        <w:rPr>
          <w:i/>
          <w:iCs/>
        </w:rPr>
        <w:t>Ibidem</w:t>
      </w:r>
      <w:r w:rsidR="00134D23">
        <w:t>, p 200</w:t>
      </w:r>
      <w:r w:rsidR="00DA6818">
        <w:t>.</w:t>
      </w:r>
    </w:p>
  </w:footnote>
  <w:footnote w:id="18">
    <w:p w14:paraId="5835890E" w14:textId="2C6FEB0B" w:rsidR="00145D95" w:rsidRDefault="00145D95">
      <w:pPr>
        <w:pStyle w:val="Notedebasdepage"/>
      </w:pPr>
      <w:r>
        <w:rPr>
          <w:rStyle w:val="Appelnotedebasdep"/>
        </w:rPr>
        <w:footnoteRef/>
      </w:r>
      <w:r>
        <w:t xml:space="preserve"> </w:t>
      </w:r>
      <w:r w:rsidR="00980489">
        <w:t xml:space="preserve">Etienne Tassin, </w:t>
      </w:r>
      <w:r w:rsidR="000F481C" w:rsidRPr="0047465A">
        <w:rPr>
          <w:i/>
          <w:iCs/>
        </w:rPr>
        <w:t>Espace commun</w:t>
      </w:r>
      <w:r w:rsidR="006853D4" w:rsidRPr="0047465A">
        <w:rPr>
          <w:i/>
          <w:iCs/>
        </w:rPr>
        <w:t xml:space="preserve"> ou espace public ?,</w:t>
      </w:r>
      <w:r w:rsidR="006853D4">
        <w:t xml:space="preserve"> Herm</w:t>
      </w:r>
      <w:r w:rsidR="0047465A">
        <w:t>è</w:t>
      </w:r>
      <w:r w:rsidR="006853D4">
        <w:t>s 1</w:t>
      </w:r>
      <w:r w:rsidR="008644A3">
        <w:t xml:space="preserve">0, 1991, p. </w:t>
      </w:r>
      <w:r w:rsidR="00ED54F9">
        <w:t>23-37</w:t>
      </w:r>
      <w:r w:rsidR="00984F8C">
        <w:t xml:space="preserve">, p </w:t>
      </w:r>
      <w:r w:rsidR="00483FEE">
        <w:t>3</w:t>
      </w:r>
      <w:r w:rsidR="004E703C">
        <w:t>0</w:t>
      </w:r>
    </w:p>
  </w:footnote>
  <w:footnote w:id="19">
    <w:p w14:paraId="0A9419DE" w14:textId="491A17B7" w:rsidR="007B064E" w:rsidRDefault="007B064E">
      <w:pPr>
        <w:pStyle w:val="Notedebasdepage"/>
      </w:pPr>
      <w:r>
        <w:rPr>
          <w:rStyle w:val="Appelnotedebasdep"/>
        </w:rPr>
        <w:footnoteRef/>
      </w:r>
      <w:r>
        <w:t xml:space="preserve"> </w:t>
      </w:r>
      <w:r w:rsidR="00BC4CCA" w:rsidRPr="00BB0B02">
        <w:rPr>
          <w:i/>
          <w:iCs/>
        </w:rPr>
        <w:t>Ibidem</w:t>
      </w:r>
      <w:r w:rsidR="00BC4CCA">
        <w:t>, p 33</w:t>
      </w:r>
      <w:r w:rsidR="00BB0B02">
        <w:t>.</w:t>
      </w:r>
    </w:p>
  </w:footnote>
  <w:footnote w:id="20">
    <w:p w14:paraId="74040F72" w14:textId="6C1E34F8" w:rsidR="00D9279E" w:rsidRDefault="00D9279E">
      <w:pPr>
        <w:pStyle w:val="Notedebasdepage"/>
      </w:pPr>
      <w:r>
        <w:rPr>
          <w:rStyle w:val="Appelnotedebasdep"/>
        </w:rPr>
        <w:footnoteRef/>
      </w:r>
      <w:r>
        <w:t xml:space="preserve"> </w:t>
      </w:r>
      <w:r w:rsidRPr="00BB0B02">
        <w:rPr>
          <w:i/>
          <w:iCs/>
        </w:rPr>
        <w:t>Ibidem</w:t>
      </w:r>
      <w:r>
        <w:t>, p 3</w:t>
      </w:r>
      <w:r w:rsidR="00D83CA8">
        <w:t>5-36</w:t>
      </w:r>
      <w:r>
        <w:t>.</w:t>
      </w:r>
    </w:p>
  </w:footnote>
  <w:footnote w:id="21">
    <w:p w14:paraId="16168728" w14:textId="590EAC07" w:rsidR="00963C0A" w:rsidRDefault="00963C0A">
      <w:pPr>
        <w:pStyle w:val="Notedebasdepage"/>
      </w:pPr>
      <w:r>
        <w:rPr>
          <w:rStyle w:val="Appelnotedebasdep"/>
        </w:rPr>
        <w:footnoteRef/>
      </w:r>
      <w:r>
        <w:t xml:space="preserve"> </w:t>
      </w:r>
      <w:r w:rsidR="008720A9">
        <w:t>E</w:t>
      </w:r>
      <w:r w:rsidR="00120AB0">
        <w:t>tienne</w:t>
      </w:r>
      <w:r w:rsidR="008720A9">
        <w:t xml:space="preserve"> Tassin, </w:t>
      </w:r>
      <w:r w:rsidR="00645E7D" w:rsidRPr="00B875FC">
        <w:rPr>
          <w:i/>
          <w:iCs/>
        </w:rPr>
        <w:t>Subjectivation ver</w:t>
      </w:r>
      <w:r w:rsidR="00713E78" w:rsidRPr="00B875FC">
        <w:rPr>
          <w:i/>
          <w:iCs/>
        </w:rPr>
        <w:t>s</w:t>
      </w:r>
      <w:r w:rsidR="00645E7D" w:rsidRPr="00B875FC">
        <w:rPr>
          <w:i/>
          <w:iCs/>
        </w:rPr>
        <w:t>us sujet politique</w:t>
      </w:r>
      <w:r w:rsidR="00713E78">
        <w:t>, Tumultes</w:t>
      </w:r>
      <w:r w:rsidR="00EF3B26">
        <w:t xml:space="preserve">, n°43, 2014, </w:t>
      </w:r>
      <w:r w:rsidR="000D0E8B">
        <w:t xml:space="preserve">p 157-173, </w:t>
      </w:r>
      <w:r w:rsidR="00B875FC">
        <w:t>p 161.</w:t>
      </w:r>
      <w:r w:rsidR="00645E7D">
        <w:t xml:space="preserve"> </w:t>
      </w:r>
    </w:p>
  </w:footnote>
  <w:footnote w:id="22">
    <w:p w14:paraId="4E829804" w14:textId="26639490" w:rsidR="002929F5" w:rsidRDefault="002929F5">
      <w:pPr>
        <w:pStyle w:val="Notedebasdepage"/>
      </w:pPr>
      <w:r>
        <w:rPr>
          <w:rStyle w:val="Appelnotedebasdep"/>
        </w:rPr>
        <w:footnoteRef/>
      </w:r>
      <w:r>
        <w:t xml:space="preserve"> </w:t>
      </w:r>
      <w:r w:rsidR="00950AED" w:rsidRPr="00950AED">
        <w:rPr>
          <w:i/>
          <w:iCs/>
        </w:rPr>
        <w:t>Ibidem</w:t>
      </w:r>
      <w:r w:rsidR="00950AED">
        <w:t>, p 162</w:t>
      </w:r>
    </w:p>
  </w:footnote>
  <w:footnote w:id="23">
    <w:p w14:paraId="34058BA6" w14:textId="55A64847" w:rsidR="000C5141" w:rsidRDefault="000C5141">
      <w:pPr>
        <w:pStyle w:val="Notedebasdepage"/>
      </w:pPr>
      <w:r>
        <w:rPr>
          <w:rStyle w:val="Appelnotedebasdep"/>
        </w:rPr>
        <w:footnoteRef/>
      </w:r>
      <w:r>
        <w:t xml:space="preserve"> Jacques </w:t>
      </w:r>
      <w:r w:rsidR="00191C17">
        <w:t xml:space="preserve">Rancière, </w:t>
      </w:r>
      <w:r w:rsidR="00191C17" w:rsidRPr="00835857">
        <w:rPr>
          <w:i/>
          <w:iCs/>
        </w:rPr>
        <w:t>Aux bords du politique</w:t>
      </w:r>
      <w:r w:rsidR="003D52D6">
        <w:t xml:space="preserve">, </w:t>
      </w:r>
      <w:r w:rsidR="009B2AAF">
        <w:t xml:space="preserve">La </w:t>
      </w:r>
      <w:r w:rsidR="0066082C">
        <w:t>F</w:t>
      </w:r>
      <w:r w:rsidR="009B2AAF">
        <w:t>abrique</w:t>
      </w:r>
      <w:r w:rsidR="0066082C">
        <w:t xml:space="preserve">, </w:t>
      </w:r>
      <w:r w:rsidR="00B720E4">
        <w:t>1998, p 90</w:t>
      </w:r>
      <w:r w:rsidR="00835857">
        <w:t>.</w:t>
      </w:r>
    </w:p>
  </w:footnote>
  <w:footnote w:id="24">
    <w:p w14:paraId="7FB74CBD" w14:textId="0D042812" w:rsidR="00CA64ED" w:rsidRDefault="00CA64ED">
      <w:pPr>
        <w:pStyle w:val="Notedebasdepage"/>
      </w:pPr>
      <w:r>
        <w:rPr>
          <w:rStyle w:val="Appelnotedebasdep"/>
        </w:rPr>
        <w:footnoteRef/>
      </w:r>
      <w:r>
        <w:t xml:space="preserve"> Hannah Arendt, La condition de l’homme moderne, op. cité, p </w:t>
      </w:r>
      <w:r w:rsidR="008A1DD3">
        <w:t>241.</w:t>
      </w:r>
    </w:p>
  </w:footnote>
  <w:footnote w:id="25">
    <w:p w14:paraId="2A4B03EE" w14:textId="63557598" w:rsidR="008F1372" w:rsidRDefault="008F1372">
      <w:pPr>
        <w:pStyle w:val="Notedebasdepage"/>
      </w:pPr>
      <w:r>
        <w:rPr>
          <w:rStyle w:val="Appelnotedebasdep"/>
        </w:rPr>
        <w:footnoteRef/>
      </w:r>
      <w:r>
        <w:t xml:space="preserve"> Emmanuel </w:t>
      </w:r>
      <w:r w:rsidR="003B087C">
        <w:t xml:space="preserve">Kant, </w:t>
      </w:r>
      <w:r w:rsidR="003B087C" w:rsidRPr="00634BDD">
        <w:rPr>
          <w:i/>
          <w:iCs/>
        </w:rPr>
        <w:t>Critique d</w:t>
      </w:r>
      <w:r w:rsidR="001651CC" w:rsidRPr="00634BDD">
        <w:rPr>
          <w:i/>
          <w:iCs/>
        </w:rPr>
        <w:t>e la faculté de juger</w:t>
      </w:r>
      <w:r w:rsidR="00193A92">
        <w:t xml:space="preserve"> (1790)</w:t>
      </w:r>
      <w:r w:rsidR="001651CC">
        <w:t>, paragraphe 40</w:t>
      </w:r>
      <w:r w:rsidR="00B97D6E">
        <w:t xml:space="preserve">, </w:t>
      </w:r>
      <w:r w:rsidR="00555650">
        <w:t xml:space="preserve">Aubier, 1995, p </w:t>
      </w:r>
      <w:r w:rsidR="00EE10C8">
        <w:t>27</w:t>
      </w:r>
      <w:r w:rsidR="00634BDD">
        <w:t>8.</w:t>
      </w:r>
    </w:p>
  </w:footnote>
  <w:footnote w:id="26">
    <w:p w14:paraId="26DA59EA" w14:textId="77777777" w:rsidR="00C96A56" w:rsidRDefault="00C96A56" w:rsidP="00C96A56">
      <w:pPr>
        <w:pStyle w:val="Notedebasdepage"/>
      </w:pPr>
      <w:r>
        <w:rPr>
          <w:rStyle w:val="Appelnotedebasdep"/>
        </w:rPr>
        <w:footnoteRef/>
      </w:r>
      <w:r>
        <w:t xml:space="preserve"> C’est pour cette raison que j’ai résisté à la tentation de parler d’emblée de société !</w:t>
      </w:r>
    </w:p>
  </w:footnote>
  <w:footnote w:id="27">
    <w:p w14:paraId="1802B16C" w14:textId="6B22B325" w:rsidR="006133C5" w:rsidRDefault="006133C5">
      <w:pPr>
        <w:pStyle w:val="Notedebasdepage"/>
      </w:pPr>
      <w:r>
        <w:rPr>
          <w:rStyle w:val="Appelnotedebasdep"/>
        </w:rPr>
        <w:footnoteRef/>
      </w:r>
      <w:r>
        <w:t xml:space="preserve"> Hannah Arendt, </w:t>
      </w:r>
      <w:r w:rsidRPr="00B13476">
        <w:rPr>
          <w:i/>
          <w:iCs/>
        </w:rPr>
        <w:t>Condition de l’homme moderne, op. cité</w:t>
      </w:r>
      <w:r>
        <w:t xml:space="preserve">, </w:t>
      </w:r>
      <w:r w:rsidR="001657BC">
        <w:t>p 113-114</w:t>
      </w:r>
    </w:p>
  </w:footnote>
  <w:footnote w:id="28">
    <w:p w14:paraId="44C2A774" w14:textId="6264B698" w:rsidR="00B13476" w:rsidRDefault="00B13476">
      <w:pPr>
        <w:pStyle w:val="Notedebasdepage"/>
      </w:pPr>
      <w:r>
        <w:rPr>
          <w:rStyle w:val="Appelnotedebasdep"/>
        </w:rPr>
        <w:footnoteRef/>
      </w:r>
      <w:r>
        <w:t xml:space="preserve"> </w:t>
      </w:r>
      <w:r w:rsidR="00CD24F1" w:rsidRPr="00CD24F1">
        <w:rPr>
          <w:i/>
          <w:iCs/>
        </w:rPr>
        <w:t>Idem</w:t>
      </w:r>
      <w:r w:rsidR="00CD24F1">
        <w:t>, p 91-92</w:t>
      </w:r>
    </w:p>
  </w:footnote>
  <w:footnote w:id="29">
    <w:p w14:paraId="5E5D13A3" w14:textId="57EF13DF" w:rsidR="001F0CF4" w:rsidRDefault="001F0CF4">
      <w:pPr>
        <w:pStyle w:val="Notedebasdepage"/>
      </w:pPr>
      <w:r>
        <w:rPr>
          <w:rStyle w:val="Appelnotedebasdep"/>
        </w:rPr>
        <w:footnoteRef/>
      </w:r>
      <w:r>
        <w:t xml:space="preserve"> </w:t>
      </w:r>
      <w:r w:rsidRPr="0001313C">
        <w:rPr>
          <w:i/>
          <w:iCs/>
        </w:rPr>
        <w:t xml:space="preserve">Idem </w:t>
      </w:r>
      <w:r>
        <w:t>p 92</w:t>
      </w:r>
    </w:p>
  </w:footnote>
  <w:footnote w:id="30">
    <w:p w14:paraId="3214D4EC" w14:textId="77777777" w:rsidR="00C96A56" w:rsidRDefault="00C96A56" w:rsidP="00C96A56">
      <w:pPr>
        <w:pStyle w:val="Notedebasdepage"/>
      </w:pPr>
      <w:r>
        <w:rPr>
          <w:rStyle w:val="Appelnotedebasdep"/>
        </w:rPr>
        <w:footnoteRef/>
      </w:r>
      <w:r>
        <w:t xml:space="preserve"> Jacques Rancière, </w:t>
      </w:r>
      <w:r w:rsidRPr="00997139">
        <w:rPr>
          <w:i/>
          <w:iCs/>
        </w:rPr>
        <w:t>Politique, identification, subjectivation</w:t>
      </w:r>
      <w:r>
        <w:t xml:space="preserve"> (1991), in Jacques Rancière, </w:t>
      </w:r>
      <w:r w:rsidRPr="00997139">
        <w:rPr>
          <w:i/>
          <w:iCs/>
        </w:rPr>
        <w:t>Aux bords du politique</w:t>
      </w:r>
      <w:r>
        <w:t>, Paris, Gallimard, Folio essais, 2004 ; p. 112.</w:t>
      </w:r>
    </w:p>
  </w:footnote>
  <w:footnote w:id="31">
    <w:p w14:paraId="6439326E" w14:textId="77777777" w:rsidR="00C96A56" w:rsidRDefault="00C96A56" w:rsidP="00C96A56">
      <w:pPr>
        <w:pStyle w:val="Notedebasdepage"/>
      </w:pPr>
      <w:r>
        <w:rPr>
          <w:rStyle w:val="Appelnotedebasdep"/>
        </w:rPr>
        <w:footnoteRef/>
      </w:r>
      <w:r>
        <w:t xml:space="preserve"> Jacques Rancière, </w:t>
      </w:r>
      <w:r w:rsidRPr="00AD358E">
        <w:rPr>
          <w:i/>
          <w:iCs/>
        </w:rPr>
        <w:t>La mésentente</w:t>
      </w:r>
      <w:r>
        <w:t>, Paris, Éditions Galilée, 1995, p 50</w:t>
      </w:r>
    </w:p>
  </w:footnote>
  <w:footnote w:id="32">
    <w:p w14:paraId="015097DB" w14:textId="77777777" w:rsidR="00C96A56" w:rsidRDefault="00C96A56" w:rsidP="00C96A56">
      <w:pPr>
        <w:pStyle w:val="Notedebasdepage"/>
      </w:pPr>
      <w:r>
        <w:rPr>
          <w:rStyle w:val="Appelnotedebasdep"/>
        </w:rPr>
        <w:footnoteRef/>
      </w:r>
      <w:r>
        <w:t xml:space="preserve"> </w:t>
      </w:r>
      <w:r w:rsidRPr="00536590">
        <w:rPr>
          <w:i/>
          <w:iCs/>
        </w:rPr>
        <w:t>Ibidem</w:t>
      </w:r>
      <w:r>
        <w:t>, p.52</w:t>
      </w:r>
    </w:p>
  </w:footnote>
  <w:footnote w:id="33">
    <w:p w14:paraId="0BDE63A2" w14:textId="77777777" w:rsidR="00C96A56" w:rsidRDefault="00C96A56" w:rsidP="00C96A56">
      <w:pPr>
        <w:pStyle w:val="Notedebasdepage"/>
      </w:pPr>
      <w:r>
        <w:rPr>
          <w:rStyle w:val="Appelnotedebasdep"/>
        </w:rPr>
        <w:footnoteRef/>
      </w:r>
      <w:r>
        <w:t xml:space="preserve"> </w:t>
      </w:r>
      <w:r w:rsidRPr="002E2E69">
        <w:rPr>
          <w:i/>
          <w:iCs/>
        </w:rPr>
        <w:t>Idem</w:t>
      </w:r>
      <w:r>
        <w:t>, p 154</w:t>
      </w:r>
    </w:p>
  </w:footnote>
  <w:footnote w:id="34">
    <w:p w14:paraId="6DA104BC" w14:textId="77777777" w:rsidR="00C96A56" w:rsidRDefault="00C96A56" w:rsidP="00C96A56">
      <w:pPr>
        <w:pStyle w:val="Notedebasdepage"/>
      </w:pPr>
      <w:r>
        <w:rPr>
          <w:rStyle w:val="Appelnotedebasdep"/>
        </w:rPr>
        <w:footnoteRef/>
      </w:r>
      <w:r>
        <w:t xml:space="preserve"> </w:t>
      </w:r>
      <w:r w:rsidRPr="008855D8">
        <w:rPr>
          <w:i/>
          <w:iCs/>
        </w:rPr>
        <w:t>Idem</w:t>
      </w:r>
      <w:r>
        <w:t xml:space="preserve"> p148</w:t>
      </w:r>
    </w:p>
  </w:footnote>
  <w:footnote w:id="35">
    <w:p w14:paraId="553F7F31" w14:textId="77777777" w:rsidR="00C96A56" w:rsidRDefault="00C96A56" w:rsidP="00C96A56">
      <w:pPr>
        <w:pStyle w:val="Notedebasdepage"/>
      </w:pPr>
      <w:r>
        <w:rPr>
          <w:rStyle w:val="Appelnotedebasdep"/>
        </w:rPr>
        <w:footnoteRef/>
      </w:r>
      <w:r>
        <w:t xml:space="preserve"> </w:t>
      </w:r>
      <w:r w:rsidRPr="00E530EC">
        <w:rPr>
          <w:i/>
          <w:iCs/>
        </w:rPr>
        <w:t>Idem</w:t>
      </w:r>
      <w:r>
        <w:t>, p 158</w:t>
      </w:r>
    </w:p>
  </w:footnote>
  <w:footnote w:id="36">
    <w:p w14:paraId="7FFF69C4" w14:textId="0A7A6C9C" w:rsidR="00C96A56" w:rsidRDefault="00C96A56" w:rsidP="00C96A56">
      <w:pPr>
        <w:pStyle w:val="Notedebasdepage"/>
      </w:pPr>
      <w:r>
        <w:rPr>
          <w:rStyle w:val="Appelnotedebasdep"/>
        </w:rPr>
        <w:footnoteRef/>
      </w:r>
      <w:r>
        <w:t xml:space="preserve"> </w:t>
      </w:r>
      <w:r w:rsidR="00806EAC">
        <w:t>Tom</w:t>
      </w:r>
      <w:r w:rsidR="00B11638">
        <w:t xml:space="preserve"> </w:t>
      </w:r>
      <w:r w:rsidRPr="002E760D">
        <w:t xml:space="preserve">Shakespeare, </w:t>
      </w:r>
      <w:r w:rsidR="00B11638" w:rsidRPr="00B11638">
        <w:rPr>
          <w:i/>
          <w:iCs/>
        </w:rPr>
        <w:t>Disability Rights and Wrongs</w:t>
      </w:r>
      <w:r w:rsidR="00B11638" w:rsidRPr="00B11638">
        <w:t> </w:t>
      </w:r>
      <w:r w:rsidR="00B11638">
        <w:t xml:space="preserve">, </w:t>
      </w:r>
      <w:r w:rsidR="00B11638" w:rsidRPr="00B11638">
        <w:t>Routledge, 2006</w:t>
      </w:r>
      <w:r w:rsidR="00A84A88">
        <w:t>.</w:t>
      </w:r>
    </w:p>
  </w:footnote>
  <w:footnote w:id="37">
    <w:p w14:paraId="324F3CED" w14:textId="077AA756" w:rsidR="00F86F9C" w:rsidRPr="00B2700C" w:rsidRDefault="00F86F9C">
      <w:pPr>
        <w:pStyle w:val="Notedebasdepage"/>
      </w:pPr>
      <w:r>
        <w:rPr>
          <w:rStyle w:val="Appelnotedebasdep"/>
        </w:rPr>
        <w:footnoteRef/>
      </w:r>
      <w:r>
        <w:t xml:space="preserve"> Gilles Deleuze, </w:t>
      </w:r>
      <w:r w:rsidR="001D6258" w:rsidRPr="00E62C25">
        <w:rPr>
          <w:i/>
          <w:iCs/>
        </w:rPr>
        <w:t>Qu’</w:t>
      </w:r>
      <w:r w:rsidR="005946F3" w:rsidRPr="00E62C25">
        <w:rPr>
          <w:i/>
          <w:iCs/>
        </w:rPr>
        <w:t>est-ce</w:t>
      </w:r>
      <w:r w:rsidR="001D6258" w:rsidRPr="00E62C25">
        <w:rPr>
          <w:i/>
          <w:iCs/>
        </w:rPr>
        <w:t xml:space="preserve"> qu’un dispositif</w:t>
      </w:r>
      <w:r w:rsidR="00BA02CE">
        <w:rPr>
          <w:i/>
          <w:iCs/>
        </w:rPr>
        <w:t> ?</w:t>
      </w:r>
      <w:r w:rsidR="005C64CB">
        <w:t xml:space="preserve">, </w:t>
      </w:r>
      <w:r w:rsidR="005C64CB" w:rsidRPr="00E62C25">
        <w:rPr>
          <w:i/>
          <w:iCs/>
        </w:rPr>
        <w:t>le Magazine littéraire</w:t>
      </w:r>
      <w:r w:rsidR="004871F3">
        <w:t>, n°</w:t>
      </w:r>
      <w:r w:rsidR="00C4544B">
        <w:t>325</w:t>
      </w:r>
      <w:r w:rsidR="00AE1EA9">
        <w:t xml:space="preserve">, </w:t>
      </w:r>
      <w:r w:rsidR="00C4544B">
        <w:t>mai 1994</w:t>
      </w:r>
      <w:r w:rsidR="005946F3">
        <w:t>.</w:t>
      </w:r>
      <w:r w:rsidR="00E05D10">
        <w:t xml:space="preserve"> </w:t>
      </w:r>
      <w:r w:rsidR="00B84EA8">
        <w:t xml:space="preserve">Deleuze cite littéralement Michel Foucault, </w:t>
      </w:r>
      <w:r w:rsidR="00B84EA8" w:rsidRPr="00D045FE">
        <w:rPr>
          <w:i/>
          <w:iCs/>
        </w:rPr>
        <w:t>Le jeu de Michel Foucault, Entretien</w:t>
      </w:r>
      <w:r w:rsidR="00B84EA8">
        <w:t xml:space="preserve">, in </w:t>
      </w:r>
      <w:r w:rsidR="00B84EA8" w:rsidRPr="00D045FE">
        <w:rPr>
          <w:i/>
          <w:iCs/>
        </w:rPr>
        <w:t xml:space="preserve">Ornicar ?, Bulletin périodique du champ </w:t>
      </w:r>
      <w:r w:rsidR="00D045FE" w:rsidRPr="00D045FE">
        <w:rPr>
          <w:i/>
          <w:iCs/>
        </w:rPr>
        <w:t>freudien</w:t>
      </w:r>
      <w:r w:rsidR="00D045FE">
        <w:t>, n</w:t>
      </w:r>
      <w:r w:rsidR="00B84EA8">
        <w:t xml:space="preserve">°10, juillet </w:t>
      </w:r>
      <w:r w:rsidR="00D045FE">
        <w:t>1977, repris</w:t>
      </w:r>
      <w:r w:rsidR="00B84EA8">
        <w:t xml:space="preserve"> dans </w:t>
      </w:r>
      <w:r w:rsidR="00B84EA8" w:rsidRPr="00D045FE">
        <w:rPr>
          <w:i/>
          <w:iCs/>
        </w:rPr>
        <w:t>Dits et écrits, texte n° 206</w:t>
      </w:r>
      <w:r w:rsidR="00B84EA8">
        <w:t xml:space="preserve">, </w:t>
      </w:r>
      <w:r w:rsidR="00D045FE">
        <w:t>Quatro Gallimard, 2017, p 299 et sq.</w:t>
      </w:r>
    </w:p>
  </w:footnote>
  <w:footnote w:id="38">
    <w:p w14:paraId="38564C11" w14:textId="47514DC7" w:rsidR="00881004" w:rsidRDefault="00881004">
      <w:pPr>
        <w:pStyle w:val="Notedebasdepage"/>
      </w:pPr>
      <w:r>
        <w:rPr>
          <w:rStyle w:val="Appelnotedebasdep"/>
        </w:rPr>
        <w:footnoteRef/>
      </w:r>
      <w:r>
        <w:t xml:space="preserve"> </w:t>
      </w:r>
      <w:r w:rsidR="00116BF0">
        <w:t>Jac</w:t>
      </w:r>
      <w:r w:rsidR="002B41B5">
        <w:t xml:space="preserve">ques Rancière, </w:t>
      </w:r>
      <w:r w:rsidR="002B41B5" w:rsidRPr="00B1138D">
        <w:rPr>
          <w:i/>
          <w:iCs/>
        </w:rPr>
        <w:t>Et tant pis pour les gens fatigués</w:t>
      </w:r>
      <w:r w:rsidR="004967FA">
        <w:t xml:space="preserve">, </w:t>
      </w:r>
      <w:r w:rsidR="00B1138D">
        <w:t>Éditions</w:t>
      </w:r>
      <w:r w:rsidR="004967FA">
        <w:t xml:space="preserve"> Amsterdam, </w:t>
      </w:r>
      <w:r w:rsidR="00B1138D">
        <w:t>2009.</w:t>
      </w:r>
    </w:p>
  </w:footnote>
  <w:footnote w:id="39">
    <w:p w14:paraId="34C1D713" w14:textId="68723B60" w:rsidR="00944814" w:rsidRDefault="00944814">
      <w:pPr>
        <w:pStyle w:val="Notedebasdepage"/>
      </w:pPr>
      <w:r>
        <w:rPr>
          <w:rStyle w:val="Appelnotedebasdep"/>
        </w:rPr>
        <w:footnoteRef/>
      </w:r>
      <w:r>
        <w:t xml:space="preserve"> </w:t>
      </w:r>
      <w:r w:rsidRPr="00944814">
        <w:t xml:space="preserve">Hannah Arendt, </w:t>
      </w:r>
      <w:r w:rsidRPr="002C3047">
        <w:rPr>
          <w:i/>
          <w:iCs/>
        </w:rPr>
        <w:t>Condition de l’homme moderne, op. cité</w:t>
      </w:r>
      <w:r w:rsidRPr="00944814">
        <w:t>, p</w:t>
      </w:r>
      <w:r>
        <w:t xml:space="preserve"> 251</w:t>
      </w:r>
    </w:p>
  </w:footnote>
  <w:footnote w:id="40">
    <w:p w14:paraId="5EED81F1" w14:textId="5C58CB55" w:rsidR="00003136" w:rsidRDefault="00003136">
      <w:pPr>
        <w:pStyle w:val="Notedebasdepage"/>
      </w:pPr>
      <w:r>
        <w:rPr>
          <w:rStyle w:val="Appelnotedebasdep"/>
        </w:rPr>
        <w:footnoteRef/>
      </w:r>
      <w:r>
        <w:t xml:space="preserve"> </w:t>
      </w:r>
      <w:r w:rsidRPr="002C3047">
        <w:rPr>
          <w:i/>
          <w:iCs/>
        </w:rPr>
        <w:t>Idem</w:t>
      </w:r>
      <w:r>
        <w:t xml:space="preserve">, p </w:t>
      </w:r>
      <w:r w:rsidR="00B617E8">
        <w:t>251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72309873"/>
      <w:docPartObj>
        <w:docPartGallery w:val="Page Numbers (Top of Page)"/>
        <w:docPartUnique/>
      </w:docPartObj>
    </w:sdtPr>
    <w:sdtEndPr>
      <w:rPr>
        <w:rFonts w:ascii="Arial Narrow" w:hAnsi="Arial Narrow"/>
        <w:sz w:val="20"/>
        <w:szCs w:val="20"/>
      </w:rPr>
    </w:sdtEndPr>
    <w:sdtContent>
      <w:p w14:paraId="7761AE7C" w14:textId="10934308" w:rsidR="009A3C14" w:rsidRPr="002001C7" w:rsidRDefault="009A3C14">
        <w:pPr>
          <w:pStyle w:val="En-tte"/>
          <w:jc w:val="right"/>
          <w:rPr>
            <w:rFonts w:ascii="Arial Narrow" w:hAnsi="Arial Narrow"/>
            <w:sz w:val="20"/>
            <w:szCs w:val="20"/>
          </w:rPr>
        </w:pPr>
        <w:r w:rsidRPr="002001C7">
          <w:rPr>
            <w:rFonts w:ascii="Arial Narrow" w:hAnsi="Arial Narrow"/>
            <w:sz w:val="20"/>
            <w:szCs w:val="20"/>
          </w:rPr>
          <w:fldChar w:fldCharType="begin"/>
        </w:r>
        <w:r w:rsidRPr="002001C7">
          <w:rPr>
            <w:rFonts w:ascii="Arial Narrow" w:hAnsi="Arial Narrow"/>
            <w:sz w:val="20"/>
            <w:szCs w:val="20"/>
          </w:rPr>
          <w:instrText>PAGE   \* MERGEFORMAT</w:instrText>
        </w:r>
        <w:r w:rsidRPr="002001C7">
          <w:rPr>
            <w:rFonts w:ascii="Arial Narrow" w:hAnsi="Arial Narrow"/>
            <w:sz w:val="20"/>
            <w:szCs w:val="20"/>
          </w:rPr>
          <w:fldChar w:fldCharType="separate"/>
        </w:r>
        <w:r w:rsidRPr="002001C7">
          <w:rPr>
            <w:rFonts w:ascii="Arial Narrow" w:hAnsi="Arial Narrow"/>
            <w:sz w:val="20"/>
            <w:szCs w:val="20"/>
          </w:rPr>
          <w:t>2</w:t>
        </w:r>
        <w:r w:rsidRPr="002001C7">
          <w:rPr>
            <w:rFonts w:ascii="Arial Narrow" w:hAnsi="Arial Narrow"/>
            <w:sz w:val="20"/>
            <w:szCs w:val="20"/>
          </w:rPr>
          <w:fldChar w:fldCharType="end"/>
        </w:r>
      </w:p>
    </w:sdtContent>
  </w:sdt>
  <w:p w14:paraId="2A12D52A" w14:textId="58630E7A" w:rsidR="009A3C14" w:rsidRPr="00802E51" w:rsidRDefault="009A3C14" w:rsidP="00237C8C">
    <w:pPr>
      <w:pStyle w:val="En-tte"/>
      <w:jc w:val="right"/>
      <w:rPr>
        <w:rFonts w:ascii="Arial Narrow" w:hAnsi="Arial Narrow"/>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84EF0"/>
    <w:multiLevelType w:val="multilevel"/>
    <w:tmpl w:val="3D880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5A7DDD"/>
    <w:multiLevelType w:val="multilevel"/>
    <w:tmpl w:val="B32A0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952B4F"/>
    <w:multiLevelType w:val="hybridMultilevel"/>
    <w:tmpl w:val="2D08068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CCE505A"/>
    <w:multiLevelType w:val="hybridMultilevel"/>
    <w:tmpl w:val="C3309BC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48E006CB"/>
    <w:multiLevelType w:val="multilevel"/>
    <w:tmpl w:val="84D8D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4E75B5D"/>
    <w:multiLevelType w:val="hybridMultilevel"/>
    <w:tmpl w:val="9210EC2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67A86D05"/>
    <w:multiLevelType w:val="hybridMultilevel"/>
    <w:tmpl w:val="1A9C3890"/>
    <w:lvl w:ilvl="0" w:tplc="47783F20">
      <w:start w:val="1"/>
      <w:numFmt w:val="upperRoman"/>
      <w:pStyle w:val="Titre1"/>
      <w:lvlText w:val="%1."/>
      <w:lvlJc w:val="right"/>
      <w:pPr>
        <w:ind w:left="644"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697A4AFA"/>
    <w:multiLevelType w:val="hybridMultilevel"/>
    <w:tmpl w:val="0F3A6DFE"/>
    <w:lvl w:ilvl="0" w:tplc="050CE022">
      <w:start w:val="1"/>
      <w:numFmt w:val="decimal"/>
      <w:pStyle w:val="Titre2"/>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74314006"/>
    <w:multiLevelType w:val="hybridMultilevel"/>
    <w:tmpl w:val="BAAA83B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9" w15:restartNumberingAfterBreak="0">
    <w:nsid w:val="7AE27BC2"/>
    <w:multiLevelType w:val="multilevel"/>
    <w:tmpl w:val="1AFA3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2566563">
    <w:abstractNumId w:val="8"/>
  </w:num>
  <w:num w:numId="2" w16cid:durableId="1626042724">
    <w:abstractNumId w:val="3"/>
  </w:num>
  <w:num w:numId="3" w16cid:durableId="853962253">
    <w:abstractNumId w:val="4"/>
  </w:num>
  <w:num w:numId="4" w16cid:durableId="1080057484">
    <w:abstractNumId w:val="9"/>
  </w:num>
  <w:num w:numId="5" w16cid:durableId="625501262">
    <w:abstractNumId w:val="0"/>
  </w:num>
  <w:num w:numId="6" w16cid:durableId="1254125222">
    <w:abstractNumId w:val="2"/>
  </w:num>
  <w:num w:numId="7" w16cid:durableId="472523632">
    <w:abstractNumId w:val="5"/>
  </w:num>
  <w:num w:numId="8" w16cid:durableId="1041636379">
    <w:abstractNumId w:val="6"/>
  </w:num>
  <w:num w:numId="9" w16cid:durableId="751321464">
    <w:abstractNumId w:val="7"/>
  </w:num>
  <w:num w:numId="10" w16cid:durableId="1750997527">
    <w:abstractNumId w:val="7"/>
    <w:lvlOverride w:ilvl="0">
      <w:startOverride w:val="1"/>
    </w:lvlOverride>
  </w:num>
  <w:num w:numId="11" w16cid:durableId="5997949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val="bestFit" w:percent="147"/>
  <w:proofState w:spelling="clean" w:grammar="clean"/>
  <w:doNotTrackFormatting/>
  <w:documentProtection w:edit="readOnly"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2BD"/>
    <w:rsid w:val="00003136"/>
    <w:rsid w:val="0001313C"/>
    <w:rsid w:val="00026CFF"/>
    <w:rsid w:val="00044F3E"/>
    <w:rsid w:val="00046C92"/>
    <w:rsid w:val="000504CE"/>
    <w:rsid w:val="00054577"/>
    <w:rsid w:val="00055FF2"/>
    <w:rsid w:val="000628CA"/>
    <w:rsid w:val="00064BF8"/>
    <w:rsid w:val="00070C07"/>
    <w:rsid w:val="00072CC7"/>
    <w:rsid w:val="000747E0"/>
    <w:rsid w:val="00074DA1"/>
    <w:rsid w:val="00080776"/>
    <w:rsid w:val="00080815"/>
    <w:rsid w:val="00090AE2"/>
    <w:rsid w:val="0009341D"/>
    <w:rsid w:val="00097BCA"/>
    <w:rsid w:val="000A39B7"/>
    <w:rsid w:val="000A6B62"/>
    <w:rsid w:val="000B4047"/>
    <w:rsid w:val="000B63FE"/>
    <w:rsid w:val="000C0195"/>
    <w:rsid w:val="000C49DA"/>
    <w:rsid w:val="000C5141"/>
    <w:rsid w:val="000D05C8"/>
    <w:rsid w:val="000D0E8B"/>
    <w:rsid w:val="000D1C61"/>
    <w:rsid w:val="000E0C19"/>
    <w:rsid w:val="000E33CB"/>
    <w:rsid w:val="000E4FB2"/>
    <w:rsid w:val="000E52FF"/>
    <w:rsid w:val="000E537B"/>
    <w:rsid w:val="000F481C"/>
    <w:rsid w:val="000F6635"/>
    <w:rsid w:val="00100EAD"/>
    <w:rsid w:val="00101211"/>
    <w:rsid w:val="00101605"/>
    <w:rsid w:val="00104077"/>
    <w:rsid w:val="00106E99"/>
    <w:rsid w:val="00111F66"/>
    <w:rsid w:val="00116BF0"/>
    <w:rsid w:val="00117C52"/>
    <w:rsid w:val="0012022E"/>
    <w:rsid w:val="00120AB0"/>
    <w:rsid w:val="00124A6D"/>
    <w:rsid w:val="00124E54"/>
    <w:rsid w:val="00134794"/>
    <w:rsid w:val="00134BF2"/>
    <w:rsid w:val="00134D23"/>
    <w:rsid w:val="001355D6"/>
    <w:rsid w:val="0013703C"/>
    <w:rsid w:val="00140D1D"/>
    <w:rsid w:val="0014436B"/>
    <w:rsid w:val="001447D6"/>
    <w:rsid w:val="00145D95"/>
    <w:rsid w:val="00152003"/>
    <w:rsid w:val="00153F08"/>
    <w:rsid w:val="00154ACD"/>
    <w:rsid w:val="001651CC"/>
    <w:rsid w:val="001657BC"/>
    <w:rsid w:val="0016780F"/>
    <w:rsid w:val="0017606E"/>
    <w:rsid w:val="001812F6"/>
    <w:rsid w:val="00182BA5"/>
    <w:rsid w:val="00183614"/>
    <w:rsid w:val="00186534"/>
    <w:rsid w:val="0019002A"/>
    <w:rsid w:val="0019099E"/>
    <w:rsid w:val="00190B13"/>
    <w:rsid w:val="0019132C"/>
    <w:rsid w:val="00191AF2"/>
    <w:rsid w:val="00191C17"/>
    <w:rsid w:val="00192DCE"/>
    <w:rsid w:val="00193A92"/>
    <w:rsid w:val="001A677E"/>
    <w:rsid w:val="001B7FC7"/>
    <w:rsid w:val="001C721C"/>
    <w:rsid w:val="001D1C6C"/>
    <w:rsid w:val="001D2015"/>
    <w:rsid w:val="001D6258"/>
    <w:rsid w:val="001E0F3F"/>
    <w:rsid w:val="001E4687"/>
    <w:rsid w:val="001F0CF4"/>
    <w:rsid w:val="001F6166"/>
    <w:rsid w:val="002001C7"/>
    <w:rsid w:val="00200782"/>
    <w:rsid w:val="00202547"/>
    <w:rsid w:val="0020313F"/>
    <w:rsid w:val="00205A72"/>
    <w:rsid w:val="00206341"/>
    <w:rsid w:val="00206B08"/>
    <w:rsid w:val="00207935"/>
    <w:rsid w:val="0022448D"/>
    <w:rsid w:val="00224E59"/>
    <w:rsid w:val="00235FDF"/>
    <w:rsid w:val="00237536"/>
    <w:rsid w:val="0023781F"/>
    <w:rsid w:val="00237C8C"/>
    <w:rsid w:val="00242FE4"/>
    <w:rsid w:val="00243FCB"/>
    <w:rsid w:val="0024442C"/>
    <w:rsid w:val="00245139"/>
    <w:rsid w:val="00251F31"/>
    <w:rsid w:val="00253CB6"/>
    <w:rsid w:val="0025513A"/>
    <w:rsid w:val="0025660B"/>
    <w:rsid w:val="00257E91"/>
    <w:rsid w:val="002618C6"/>
    <w:rsid w:val="002618E4"/>
    <w:rsid w:val="00261BCB"/>
    <w:rsid w:val="002643DC"/>
    <w:rsid w:val="002667FF"/>
    <w:rsid w:val="0027257B"/>
    <w:rsid w:val="00276D10"/>
    <w:rsid w:val="0028072B"/>
    <w:rsid w:val="00282DFB"/>
    <w:rsid w:val="0028306A"/>
    <w:rsid w:val="0028384F"/>
    <w:rsid w:val="00283D30"/>
    <w:rsid w:val="002857DA"/>
    <w:rsid w:val="00286F4A"/>
    <w:rsid w:val="0029069A"/>
    <w:rsid w:val="00291C89"/>
    <w:rsid w:val="002929F5"/>
    <w:rsid w:val="002951DA"/>
    <w:rsid w:val="00295CF4"/>
    <w:rsid w:val="002977A2"/>
    <w:rsid w:val="002A195E"/>
    <w:rsid w:val="002A393F"/>
    <w:rsid w:val="002B0ECA"/>
    <w:rsid w:val="002B41B5"/>
    <w:rsid w:val="002B50DB"/>
    <w:rsid w:val="002B5BF6"/>
    <w:rsid w:val="002B5C7A"/>
    <w:rsid w:val="002B75C8"/>
    <w:rsid w:val="002B7836"/>
    <w:rsid w:val="002C1E06"/>
    <w:rsid w:val="002C3047"/>
    <w:rsid w:val="002C34E9"/>
    <w:rsid w:val="002C3B79"/>
    <w:rsid w:val="002C6FB8"/>
    <w:rsid w:val="002C79F1"/>
    <w:rsid w:val="002D0F1C"/>
    <w:rsid w:val="002D52D6"/>
    <w:rsid w:val="002D596F"/>
    <w:rsid w:val="002E23FA"/>
    <w:rsid w:val="002E3185"/>
    <w:rsid w:val="002F1BB0"/>
    <w:rsid w:val="002F71D9"/>
    <w:rsid w:val="00301044"/>
    <w:rsid w:val="00304634"/>
    <w:rsid w:val="003058A1"/>
    <w:rsid w:val="00305BCE"/>
    <w:rsid w:val="0030751A"/>
    <w:rsid w:val="00313D52"/>
    <w:rsid w:val="00320D78"/>
    <w:rsid w:val="0032385B"/>
    <w:rsid w:val="00324618"/>
    <w:rsid w:val="00327380"/>
    <w:rsid w:val="00333D2B"/>
    <w:rsid w:val="00336CF2"/>
    <w:rsid w:val="00342D51"/>
    <w:rsid w:val="00342DC5"/>
    <w:rsid w:val="00345867"/>
    <w:rsid w:val="00350EC9"/>
    <w:rsid w:val="00351E4F"/>
    <w:rsid w:val="00352361"/>
    <w:rsid w:val="00352A9B"/>
    <w:rsid w:val="00363ABA"/>
    <w:rsid w:val="00363E55"/>
    <w:rsid w:val="0037136C"/>
    <w:rsid w:val="00373FD3"/>
    <w:rsid w:val="0038124C"/>
    <w:rsid w:val="003825F8"/>
    <w:rsid w:val="00382602"/>
    <w:rsid w:val="00382771"/>
    <w:rsid w:val="00387488"/>
    <w:rsid w:val="003915B8"/>
    <w:rsid w:val="00391628"/>
    <w:rsid w:val="0039302F"/>
    <w:rsid w:val="00394412"/>
    <w:rsid w:val="003A1B33"/>
    <w:rsid w:val="003A2D85"/>
    <w:rsid w:val="003A3B0C"/>
    <w:rsid w:val="003A4AB4"/>
    <w:rsid w:val="003B087C"/>
    <w:rsid w:val="003B2287"/>
    <w:rsid w:val="003B68FE"/>
    <w:rsid w:val="003C4D32"/>
    <w:rsid w:val="003C5F70"/>
    <w:rsid w:val="003D2193"/>
    <w:rsid w:val="003D2CE5"/>
    <w:rsid w:val="003D52D6"/>
    <w:rsid w:val="003D6DA0"/>
    <w:rsid w:val="003E3680"/>
    <w:rsid w:val="003F0324"/>
    <w:rsid w:val="003F4BCC"/>
    <w:rsid w:val="00400827"/>
    <w:rsid w:val="00411D05"/>
    <w:rsid w:val="00413D2C"/>
    <w:rsid w:val="004173E3"/>
    <w:rsid w:val="00421870"/>
    <w:rsid w:val="00422A6B"/>
    <w:rsid w:val="00424494"/>
    <w:rsid w:val="00425AAE"/>
    <w:rsid w:val="00426F8A"/>
    <w:rsid w:val="00432D89"/>
    <w:rsid w:val="004373DD"/>
    <w:rsid w:val="00440216"/>
    <w:rsid w:val="004419E0"/>
    <w:rsid w:val="00442F5C"/>
    <w:rsid w:val="004474E2"/>
    <w:rsid w:val="00450672"/>
    <w:rsid w:val="004507C0"/>
    <w:rsid w:val="00450ABD"/>
    <w:rsid w:val="00462AFB"/>
    <w:rsid w:val="00471CD1"/>
    <w:rsid w:val="0047465A"/>
    <w:rsid w:val="004811E2"/>
    <w:rsid w:val="00483FEE"/>
    <w:rsid w:val="00486451"/>
    <w:rsid w:val="004871F3"/>
    <w:rsid w:val="00492C91"/>
    <w:rsid w:val="004944D2"/>
    <w:rsid w:val="00494548"/>
    <w:rsid w:val="00494CAB"/>
    <w:rsid w:val="00496199"/>
    <w:rsid w:val="004967FA"/>
    <w:rsid w:val="00497676"/>
    <w:rsid w:val="004A16F9"/>
    <w:rsid w:val="004A216D"/>
    <w:rsid w:val="004A2941"/>
    <w:rsid w:val="004A33A3"/>
    <w:rsid w:val="004A517D"/>
    <w:rsid w:val="004A7082"/>
    <w:rsid w:val="004A7C7F"/>
    <w:rsid w:val="004A7E8B"/>
    <w:rsid w:val="004B111A"/>
    <w:rsid w:val="004B24BC"/>
    <w:rsid w:val="004B4A28"/>
    <w:rsid w:val="004B6633"/>
    <w:rsid w:val="004C0BC5"/>
    <w:rsid w:val="004C25A5"/>
    <w:rsid w:val="004C2C21"/>
    <w:rsid w:val="004C6289"/>
    <w:rsid w:val="004D17D0"/>
    <w:rsid w:val="004D32CC"/>
    <w:rsid w:val="004D71D4"/>
    <w:rsid w:val="004E1984"/>
    <w:rsid w:val="004E1A7C"/>
    <w:rsid w:val="004E38F2"/>
    <w:rsid w:val="004E703C"/>
    <w:rsid w:val="004F2534"/>
    <w:rsid w:val="004F7C1B"/>
    <w:rsid w:val="00500994"/>
    <w:rsid w:val="00503F9A"/>
    <w:rsid w:val="005052FE"/>
    <w:rsid w:val="0050772D"/>
    <w:rsid w:val="00514E61"/>
    <w:rsid w:val="005163FD"/>
    <w:rsid w:val="00517A7F"/>
    <w:rsid w:val="0052029A"/>
    <w:rsid w:val="005263E8"/>
    <w:rsid w:val="005266EA"/>
    <w:rsid w:val="005273C0"/>
    <w:rsid w:val="005278B6"/>
    <w:rsid w:val="005313D5"/>
    <w:rsid w:val="00531771"/>
    <w:rsid w:val="005337D5"/>
    <w:rsid w:val="00534041"/>
    <w:rsid w:val="0053743D"/>
    <w:rsid w:val="0054243B"/>
    <w:rsid w:val="00545C49"/>
    <w:rsid w:val="0055128C"/>
    <w:rsid w:val="00551CF2"/>
    <w:rsid w:val="005531B7"/>
    <w:rsid w:val="005536AD"/>
    <w:rsid w:val="005553D7"/>
    <w:rsid w:val="00555650"/>
    <w:rsid w:val="005600CC"/>
    <w:rsid w:val="00561D47"/>
    <w:rsid w:val="005644D1"/>
    <w:rsid w:val="005665BA"/>
    <w:rsid w:val="0057100B"/>
    <w:rsid w:val="005714DA"/>
    <w:rsid w:val="00575344"/>
    <w:rsid w:val="00576775"/>
    <w:rsid w:val="00580B65"/>
    <w:rsid w:val="00580E2A"/>
    <w:rsid w:val="0058266A"/>
    <w:rsid w:val="00583945"/>
    <w:rsid w:val="00585094"/>
    <w:rsid w:val="005943B4"/>
    <w:rsid w:val="005946F3"/>
    <w:rsid w:val="00597CCC"/>
    <w:rsid w:val="005A15C2"/>
    <w:rsid w:val="005A5C8E"/>
    <w:rsid w:val="005B1B5A"/>
    <w:rsid w:val="005C0D08"/>
    <w:rsid w:val="005C157D"/>
    <w:rsid w:val="005C64CB"/>
    <w:rsid w:val="005C6EFE"/>
    <w:rsid w:val="005D058B"/>
    <w:rsid w:val="005D19E3"/>
    <w:rsid w:val="005D4831"/>
    <w:rsid w:val="005D7AF0"/>
    <w:rsid w:val="005E10DF"/>
    <w:rsid w:val="005E4695"/>
    <w:rsid w:val="005E4E9D"/>
    <w:rsid w:val="005F2B0F"/>
    <w:rsid w:val="005F364A"/>
    <w:rsid w:val="005F366C"/>
    <w:rsid w:val="005F4EF1"/>
    <w:rsid w:val="006008A3"/>
    <w:rsid w:val="006035FA"/>
    <w:rsid w:val="00603A7D"/>
    <w:rsid w:val="00604570"/>
    <w:rsid w:val="00605325"/>
    <w:rsid w:val="0060786F"/>
    <w:rsid w:val="00612509"/>
    <w:rsid w:val="006133C5"/>
    <w:rsid w:val="00614083"/>
    <w:rsid w:val="0061492B"/>
    <w:rsid w:val="0061664F"/>
    <w:rsid w:val="00622864"/>
    <w:rsid w:val="006241C7"/>
    <w:rsid w:val="00625935"/>
    <w:rsid w:val="00626575"/>
    <w:rsid w:val="00627886"/>
    <w:rsid w:val="00631B5D"/>
    <w:rsid w:val="00634679"/>
    <w:rsid w:val="00634BDD"/>
    <w:rsid w:val="00636332"/>
    <w:rsid w:val="00640B57"/>
    <w:rsid w:val="00641384"/>
    <w:rsid w:val="00641C49"/>
    <w:rsid w:val="00641EE2"/>
    <w:rsid w:val="00642680"/>
    <w:rsid w:val="00643268"/>
    <w:rsid w:val="00643C7A"/>
    <w:rsid w:val="00645E7D"/>
    <w:rsid w:val="006464E1"/>
    <w:rsid w:val="0064761A"/>
    <w:rsid w:val="00654DE5"/>
    <w:rsid w:val="0066082C"/>
    <w:rsid w:val="00664F3B"/>
    <w:rsid w:val="006710D6"/>
    <w:rsid w:val="006724CA"/>
    <w:rsid w:val="00672750"/>
    <w:rsid w:val="00672DE5"/>
    <w:rsid w:val="0067484B"/>
    <w:rsid w:val="00675619"/>
    <w:rsid w:val="00684A61"/>
    <w:rsid w:val="006853D4"/>
    <w:rsid w:val="00693166"/>
    <w:rsid w:val="0069436A"/>
    <w:rsid w:val="006A13F2"/>
    <w:rsid w:val="006A3558"/>
    <w:rsid w:val="006A6765"/>
    <w:rsid w:val="006B228E"/>
    <w:rsid w:val="006B5755"/>
    <w:rsid w:val="006B632B"/>
    <w:rsid w:val="006B6732"/>
    <w:rsid w:val="006B6DB0"/>
    <w:rsid w:val="006C2D44"/>
    <w:rsid w:val="006C3BFB"/>
    <w:rsid w:val="006C5D37"/>
    <w:rsid w:val="006C6B8A"/>
    <w:rsid w:val="006C7E6E"/>
    <w:rsid w:val="006D3ABB"/>
    <w:rsid w:val="006D7BC0"/>
    <w:rsid w:val="006E24CB"/>
    <w:rsid w:val="006E7556"/>
    <w:rsid w:val="006F51FB"/>
    <w:rsid w:val="00703019"/>
    <w:rsid w:val="00710B9E"/>
    <w:rsid w:val="00712A3E"/>
    <w:rsid w:val="00713253"/>
    <w:rsid w:val="00713770"/>
    <w:rsid w:val="00713E78"/>
    <w:rsid w:val="0071418B"/>
    <w:rsid w:val="00714DE5"/>
    <w:rsid w:val="007179AC"/>
    <w:rsid w:val="00726C4C"/>
    <w:rsid w:val="00726DBA"/>
    <w:rsid w:val="00733CE3"/>
    <w:rsid w:val="00736333"/>
    <w:rsid w:val="00741F6F"/>
    <w:rsid w:val="00741F97"/>
    <w:rsid w:val="00742FC3"/>
    <w:rsid w:val="007436E4"/>
    <w:rsid w:val="00744024"/>
    <w:rsid w:val="0075084B"/>
    <w:rsid w:val="00752705"/>
    <w:rsid w:val="0075355E"/>
    <w:rsid w:val="00754910"/>
    <w:rsid w:val="007557B2"/>
    <w:rsid w:val="007567FF"/>
    <w:rsid w:val="00757E37"/>
    <w:rsid w:val="007606DA"/>
    <w:rsid w:val="0076331F"/>
    <w:rsid w:val="00765C35"/>
    <w:rsid w:val="00765F67"/>
    <w:rsid w:val="00766FD7"/>
    <w:rsid w:val="00771EF6"/>
    <w:rsid w:val="00775AA8"/>
    <w:rsid w:val="00776021"/>
    <w:rsid w:val="007824A9"/>
    <w:rsid w:val="007827D2"/>
    <w:rsid w:val="00785B4C"/>
    <w:rsid w:val="00785D3F"/>
    <w:rsid w:val="00790BD7"/>
    <w:rsid w:val="0079373B"/>
    <w:rsid w:val="007977BF"/>
    <w:rsid w:val="007A0358"/>
    <w:rsid w:val="007A1BC5"/>
    <w:rsid w:val="007A29D1"/>
    <w:rsid w:val="007A7379"/>
    <w:rsid w:val="007A7B01"/>
    <w:rsid w:val="007B064E"/>
    <w:rsid w:val="007B252E"/>
    <w:rsid w:val="007B3310"/>
    <w:rsid w:val="007B43CE"/>
    <w:rsid w:val="007B763F"/>
    <w:rsid w:val="007C0CF9"/>
    <w:rsid w:val="007C376E"/>
    <w:rsid w:val="007C4EE9"/>
    <w:rsid w:val="007D4758"/>
    <w:rsid w:val="007D4D32"/>
    <w:rsid w:val="007E3B04"/>
    <w:rsid w:val="007E4056"/>
    <w:rsid w:val="007E5878"/>
    <w:rsid w:val="007E7A55"/>
    <w:rsid w:val="007F105B"/>
    <w:rsid w:val="00802E51"/>
    <w:rsid w:val="00804C1D"/>
    <w:rsid w:val="00805BFD"/>
    <w:rsid w:val="00806EAC"/>
    <w:rsid w:val="00810B48"/>
    <w:rsid w:val="00810CB3"/>
    <w:rsid w:val="008111D8"/>
    <w:rsid w:val="00812ABA"/>
    <w:rsid w:val="008218EA"/>
    <w:rsid w:val="008223B2"/>
    <w:rsid w:val="00823098"/>
    <w:rsid w:val="0082415F"/>
    <w:rsid w:val="008251DC"/>
    <w:rsid w:val="0082769D"/>
    <w:rsid w:val="008301B8"/>
    <w:rsid w:val="00830B9E"/>
    <w:rsid w:val="008347AF"/>
    <w:rsid w:val="00834EF2"/>
    <w:rsid w:val="00835680"/>
    <w:rsid w:val="00835857"/>
    <w:rsid w:val="00844ABE"/>
    <w:rsid w:val="0084621A"/>
    <w:rsid w:val="00847F18"/>
    <w:rsid w:val="0085129B"/>
    <w:rsid w:val="00855AAE"/>
    <w:rsid w:val="00856274"/>
    <w:rsid w:val="00856E67"/>
    <w:rsid w:val="008578D0"/>
    <w:rsid w:val="008644A3"/>
    <w:rsid w:val="008720A9"/>
    <w:rsid w:val="00874BCA"/>
    <w:rsid w:val="0088050E"/>
    <w:rsid w:val="00881004"/>
    <w:rsid w:val="008811E4"/>
    <w:rsid w:val="00884B87"/>
    <w:rsid w:val="008870F2"/>
    <w:rsid w:val="00891A85"/>
    <w:rsid w:val="0089229B"/>
    <w:rsid w:val="00894AFC"/>
    <w:rsid w:val="00895A10"/>
    <w:rsid w:val="008A1DD3"/>
    <w:rsid w:val="008A2399"/>
    <w:rsid w:val="008A3678"/>
    <w:rsid w:val="008A5138"/>
    <w:rsid w:val="008B32BD"/>
    <w:rsid w:val="008B3B29"/>
    <w:rsid w:val="008B57A1"/>
    <w:rsid w:val="008B6F86"/>
    <w:rsid w:val="008C523B"/>
    <w:rsid w:val="008D3087"/>
    <w:rsid w:val="008D4BD8"/>
    <w:rsid w:val="008E2FB1"/>
    <w:rsid w:val="008E5C6B"/>
    <w:rsid w:val="008E6DA5"/>
    <w:rsid w:val="008F09A2"/>
    <w:rsid w:val="008F1372"/>
    <w:rsid w:val="008F1ADE"/>
    <w:rsid w:val="008F2360"/>
    <w:rsid w:val="008F44FE"/>
    <w:rsid w:val="008F69CB"/>
    <w:rsid w:val="008F6EDB"/>
    <w:rsid w:val="009022B4"/>
    <w:rsid w:val="009031E3"/>
    <w:rsid w:val="00910773"/>
    <w:rsid w:val="00912002"/>
    <w:rsid w:val="009120C7"/>
    <w:rsid w:val="0091235F"/>
    <w:rsid w:val="00917561"/>
    <w:rsid w:val="00923C60"/>
    <w:rsid w:val="009257E5"/>
    <w:rsid w:val="00936DAF"/>
    <w:rsid w:val="009432EF"/>
    <w:rsid w:val="00944814"/>
    <w:rsid w:val="00950953"/>
    <w:rsid w:val="00950AED"/>
    <w:rsid w:val="00954C5B"/>
    <w:rsid w:val="00956498"/>
    <w:rsid w:val="00961D67"/>
    <w:rsid w:val="009620E0"/>
    <w:rsid w:val="0096267B"/>
    <w:rsid w:val="00962795"/>
    <w:rsid w:val="00963C0A"/>
    <w:rsid w:val="009714E9"/>
    <w:rsid w:val="009732A7"/>
    <w:rsid w:val="00976A38"/>
    <w:rsid w:val="00980489"/>
    <w:rsid w:val="0098373E"/>
    <w:rsid w:val="00984F8C"/>
    <w:rsid w:val="0099060C"/>
    <w:rsid w:val="00993466"/>
    <w:rsid w:val="009A3C14"/>
    <w:rsid w:val="009A7EC0"/>
    <w:rsid w:val="009B075F"/>
    <w:rsid w:val="009B1E59"/>
    <w:rsid w:val="009B2AAF"/>
    <w:rsid w:val="009B5B8D"/>
    <w:rsid w:val="009C0A8C"/>
    <w:rsid w:val="009C0EAE"/>
    <w:rsid w:val="009C233A"/>
    <w:rsid w:val="009C371D"/>
    <w:rsid w:val="009C3951"/>
    <w:rsid w:val="009C516C"/>
    <w:rsid w:val="009D1FBB"/>
    <w:rsid w:val="009D48C6"/>
    <w:rsid w:val="009E1CE4"/>
    <w:rsid w:val="009F68D6"/>
    <w:rsid w:val="009F6F7D"/>
    <w:rsid w:val="009F7D07"/>
    <w:rsid w:val="00A02450"/>
    <w:rsid w:val="00A103B8"/>
    <w:rsid w:val="00A14109"/>
    <w:rsid w:val="00A24963"/>
    <w:rsid w:val="00A30B73"/>
    <w:rsid w:val="00A3121E"/>
    <w:rsid w:val="00A31C7A"/>
    <w:rsid w:val="00A36BCC"/>
    <w:rsid w:val="00A378A9"/>
    <w:rsid w:val="00A40F51"/>
    <w:rsid w:val="00A44CE0"/>
    <w:rsid w:val="00A46C71"/>
    <w:rsid w:val="00A47715"/>
    <w:rsid w:val="00A523EE"/>
    <w:rsid w:val="00A57F32"/>
    <w:rsid w:val="00A63BE1"/>
    <w:rsid w:val="00A65532"/>
    <w:rsid w:val="00A669A2"/>
    <w:rsid w:val="00A73E16"/>
    <w:rsid w:val="00A75137"/>
    <w:rsid w:val="00A75571"/>
    <w:rsid w:val="00A76CF8"/>
    <w:rsid w:val="00A77236"/>
    <w:rsid w:val="00A8401B"/>
    <w:rsid w:val="00A84A88"/>
    <w:rsid w:val="00A87CEA"/>
    <w:rsid w:val="00A87E46"/>
    <w:rsid w:val="00A92729"/>
    <w:rsid w:val="00A94C39"/>
    <w:rsid w:val="00AA0DCE"/>
    <w:rsid w:val="00AA1E81"/>
    <w:rsid w:val="00AA3136"/>
    <w:rsid w:val="00AA4CED"/>
    <w:rsid w:val="00AA6624"/>
    <w:rsid w:val="00AB275C"/>
    <w:rsid w:val="00AB30FD"/>
    <w:rsid w:val="00AB5999"/>
    <w:rsid w:val="00AB706E"/>
    <w:rsid w:val="00AD0E8D"/>
    <w:rsid w:val="00AD3F6D"/>
    <w:rsid w:val="00AD4589"/>
    <w:rsid w:val="00AD4F37"/>
    <w:rsid w:val="00AD5978"/>
    <w:rsid w:val="00AE108E"/>
    <w:rsid w:val="00AE15F0"/>
    <w:rsid w:val="00AE1EA9"/>
    <w:rsid w:val="00AE5107"/>
    <w:rsid w:val="00AF2030"/>
    <w:rsid w:val="00B01065"/>
    <w:rsid w:val="00B019A2"/>
    <w:rsid w:val="00B10411"/>
    <w:rsid w:val="00B1138D"/>
    <w:rsid w:val="00B11534"/>
    <w:rsid w:val="00B11638"/>
    <w:rsid w:val="00B11E32"/>
    <w:rsid w:val="00B13476"/>
    <w:rsid w:val="00B15D0B"/>
    <w:rsid w:val="00B2009C"/>
    <w:rsid w:val="00B2700C"/>
    <w:rsid w:val="00B27A18"/>
    <w:rsid w:val="00B35775"/>
    <w:rsid w:val="00B37EEE"/>
    <w:rsid w:val="00B40701"/>
    <w:rsid w:val="00B41C01"/>
    <w:rsid w:val="00B422A4"/>
    <w:rsid w:val="00B425D3"/>
    <w:rsid w:val="00B42AB3"/>
    <w:rsid w:val="00B539A2"/>
    <w:rsid w:val="00B57D31"/>
    <w:rsid w:val="00B617E8"/>
    <w:rsid w:val="00B628C8"/>
    <w:rsid w:val="00B636F4"/>
    <w:rsid w:val="00B66203"/>
    <w:rsid w:val="00B71168"/>
    <w:rsid w:val="00B71231"/>
    <w:rsid w:val="00B720E4"/>
    <w:rsid w:val="00B735F2"/>
    <w:rsid w:val="00B74BF8"/>
    <w:rsid w:val="00B752E6"/>
    <w:rsid w:val="00B81913"/>
    <w:rsid w:val="00B81B51"/>
    <w:rsid w:val="00B8213D"/>
    <w:rsid w:val="00B832BF"/>
    <w:rsid w:val="00B83C61"/>
    <w:rsid w:val="00B84B70"/>
    <w:rsid w:val="00B84EA8"/>
    <w:rsid w:val="00B861D6"/>
    <w:rsid w:val="00B8699E"/>
    <w:rsid w:val="00B875FC"/>
    <w:rsid w:val="00B91367"/>
    <w:rsid w:val="00B916BD"/>
    <w:rsid w:val="00B97D6E"/>
    <w:rsid w:val="00BA02CE"/>
    <w:rsid w:val="00BA19DF"/>
    <w:rsid w:val="00BA2388"/>
    <w:rsid w:val="00BA5913"/>
    <w:rsid w:val="00BB0B02"/>
    <w:rsid w:val="00BB1EE5"/>
    <w:rsid w:val="00BB230A"/>
    <w:rsid w:val="00BC0723"/>
    <w:rsid w:val="00BC41C1"/>
    <w:rsid w:val="00BC4CCA"/>
    <w:rsid w:val="00BD3476"/>
    <w:rsid w:val="00BD3F53"/>
    <w:rsid w:val="00BD47B5"/>
    <w:rsid w:val="00BD601F"/>
    <w:rsid w:val="00BD6B3A"/>
    <w:rsid w:val="00BE2A69"/>
    <w:rsid w:val="00BE41BB"/>
    <w:rsid w:val="00BE6A1C"/>
    <w:rsid w:val="00BE6FE3"/>
    <w:rsid w:val="00BE709D"/>
    <w:rsid w:val="00BE75E7"/>
    <w:rsid w:val="00BF0D09"/>
    <w:rsid w:val="00C023BE"/>
    <w:rsid w:val="00C028F9"/>
    <w:rsid w:val="00C02BEF"/>
    <w:rsid w:val="00C105B2"/>
    <w:rsid w:val="00C1331E"/>
    <w:rsid w:val="00C24CF8"/>
    <w:rsid w:val="00C25A25"/>
    <w:rsid w:val="00C33D8D"/>
    <w:rsid w:val="00C353CE"/>
    <w:rsid w:val="00C35AF8"/>
    <w:rsid w:val="00C40662"/>
    <w:rsid w:val="00C43282"/>
    <w:rsid w:val="00C4544B"/>
    <w:rsid w:val="00C468E0"/>
    <w:rsid w:val="00C47D36"/>
    <w:rsid w:val="00C50ABE"/>
    <w:rsid w:val="00C53201"/>
    <w:rsid w:val="00C53604"/>
    <w:rsid w:val="00C62442"/>
    <w:rsid w:val="00C62B4E"/>
    <w:rsid w:val="00C63E79"/>
    <w:rsid w:val="00C65DC8"/>
    <w:rsid w:val="00C716C1"/>
    <w:rsid w:val="00C71F83"/>
    <w:rsid w:val="00C752F2"/>
    <w:rsid w:val="00C80D1F"/>
    <w:rsid w:val="00C83C26"/>
    <w:rsid w:val="00C83EFA"/>
    <w:rsid w:val="00C852FA"/>
    <w:rsid w:val="00C863E6"/>
    <w:rsid w:val="00C905DF"/>
    <w:rsid w:val="00C9113F"/>
    <w:rsid w:val="00C91B98"/>
    <w:rsid w:val="00C94E8D"/>
    <w:rsid w:val="00C96A56"/>
    <w:rsid w:val="00CA0F19"/>
    <w:rsid w:val="00CA5F2D"/>
    <w:rsid w:val="00CA64ED"/>
    <w:rsid w:val="00CB20E8"/>
    <w:rsid w:val="00CB6DA3"/>
    <w:rsid w:val="00CB7604"/>
    <w:rsid w:val="00CC10D2"/>
    <w:rsid w:val="00CC1F70"/>
    <w:rsid w:val="00CC2397"/>
    <w:rsid w:val="00CC3E89"/>
    <w:rsid w:val="00CC6669"/>
    <w:rsid w:val="00CC74C0"/>
    <w:rsid w:val="00CC7C19"/>
    <w:rsid w:val="00CD028B"/>
    <w:rsid w:val="00CD24F1"/>
    <w:rsid w:val="00CD4F07"/>
    <w:rsid w:val="00CD5522"/>
    <w:rsid w:val="00CD797A"/>
    <w:rsid w:val="00CE1B00"/>
    <w:rsid w:val="00CE2163"/>
    <w:rsid w:val="00CE25E5"/>
    <w:rsid w:val="00CE331D"/>
    <w:rsid w:val="00CE490A"/>
    <w:rsid w:val="00CE4D63"/>
    <w:rsid w:val="00CE67A4"/>
    <w:rsid w:val="00CE7DE1"/>
    <w:rsid w:val="00CF0FC8"/>
    <w:rsid w:val="00CF4A40"/>
    <w:rsid w:val="00D004E0"/>
    <w:rsid w:val="00D017EF"/>
    <w:rsid w:val="00D045FE"/>
    <w:rsid w:val="00D07CAE"/>
    <w:rsid w:val="00D14A34"/>
    <w:rsid w:val="00D16B6E"/>
    <w:rsid w:val="00D2014B"/>
    <w:rsid w:val="00D21FC8"/>
    <w:rsid w:val="00D22502"/>
    <w:rsid w:val="00D22763"/>
    <w:rsid w:val="00D26B73"/>
    <w:rsid w:val="00D35103"/>
    <w:rsid w:val="00D3578B"/>
    <w:rsid w:val="00D35DC5"/>
    <w:rsid w:val="00D37541"/>
    <w:rsid w:val="00D40C0E"/>
    <w:rsid w:val="00D44C91"/>
    <w:rsid w:val="00D50680"/>
    <w:rsid w:val="00D506DC"/>
    <w:rsid w:val="00D51ED7"/>
    <w:rsid w:val="00D529AA"/>
    <w:rsid w:val="00D52E72"/>
    <w:rsid w:val="00D55FCC"/>
    <w:rsid w:val="00D577EA"/>
    <w:rsid w:val="00D63B9E"/>
    <w:rsid w:val="00D661CE"/>
    <w:rsid w:val="00D67FDA"/>
    <w:rsid w:val="00D71205"/>
    <w:rsid w:val="00D71F14"/>
    <w:rsid w:val="00D81E7B"/>
    <w:rsid w:val="00D83CA8"/>
    <w:rsid w:val="00D840F4"/>
    <w:rsid w:val="00D9279E"/>
    <w:rsid w:val="00D97F5C"/>
    <w:rsid w:val="00DA3634"/>
    <w:rsid w:val="00DA3D86"/>
    <w:rsid w:val="00DA6818"/>
    <w:rsid w:val="00DB5751"/>
    <w:rsid w:val="00DC0D8E"/>
    <w:rsid w:val="00DD1D28"/>
    <w:rsid w:val="00DD442F"/>
    <w:rsid w:val="00DD4755"/>
    <w:rsid w:val="00DE6755"/>
    <w:rsid w:val="00DE6CF8"/>
    <w:rsid w:val="00DF0AB0"/>
    <w:rsid w:val="00DF1FCB"/>
    <w:rsid w:val="00DF5B7C"/>
    <w:rsid w:val="00DF5E66"/>
    <w:rsid w:val="00DF6A8A"/>
    <w:rsid w:val="00E018D9"/>
    <w:rsid w:val="00E0312B"/>
    <w:rsid w:val="00E05D10"/>
    <w:rsid w:val="00E05DFE"/>
    <w:rsid w:val="00E10FDD"/>
    <w:rsid w:val="00E16740"/>
    <w:rsid w:val="00E1735A"/>
    <w:rsid w:val="00E17B00"/>
    <w:rsid w:val="00E23AA2"/>
    <w:rsid w:val="00E25E1C"/>
    <w:rsid w:val="00E26C2F"/>
    <w:rsid w:val="00E276BE"/>
    <w:rsid w:val="00E31803"/>
    <w:rsid w:val="00E31B74"/>
    <w:rsid w:val="00E340D1"/>
    <w:rsid w:val="00E36107"/>
    <w:rsid w:val="00E42578"/>
    <w:rsid w:val="00E43A5D"/>
    <w:rsid w:val="00E459D4"/>
    <w:rsid w:val="00E52412"/>
    <w:rsid w:val="00E574DE"/>
    <w:rsid w:val="00E57E9F"/>
    <w:rsid w:val="00E61BE7"/>
    <w:rsid w:val="00E62C25"/>
    <w:rsid w:val="00E65675"/>
    <w:rsid w:val="00E70E4C"/>
    <w:rsid w:val="00E81607"/>
    <w:rsid w:val="00E82FF1"/>
    <w:rsid w:val="00E8597F"/>
    <w:rsid w:val="00E91817"/>
    <w:rsid w:val="00E958AC"/>
    <w:rsid w:val="00E95A6C"/>
    <w:rsid w:val="00E97403"/>
    <w:rsid w:val="00EA053A"/>
    <w:rsid w:val="00EA1795"/>
    <w:rsid w:val="00EA5D0B"/>
    <w:rsid w:val="00EB0098"/>
    <w:rsid w:val="00EB08AA"/>
    <w:rsid w:val="00EB192F"/>
    <w:rsid w:val="00EB2273"/>
    <w:rsid w:val="00EB4417"/>
    <w:rsid w:val="00EB4523"/>
    <w:rsid w:val="00EC045D"/>
    <w:rsid w:val="00EC077E"/>
    <w:rsid w:val="00EC477B"/>
    <w:rsid w:val="00EC5194"/>
    <w:rsid w:val="00EC5FAF"/>
    <w:rsid w:val="00EC6F85"/>
    <w:rsid w:val="00ED54F9"/>
    <w:rsid w:val="00EE10C8"/>
    <w:rsid w:val="00EF1528"/>
    <w:rsid w:val="00EF180C"/>
    <w:rsid w:val="00EF3B26"/>
    <w:rsid w:val="00EF4D30"/>
    <w:rsid w:val="00EF734E"/>
    <w:rsid w:val="00F05AFD"/>
    <w:rsid w:val="00F101A4"/>
    <w:rsid w:val="00F10F15"/>
    <w:rsid w:val="00F25F90"/>
    <w:rsid w:val="00F37C9C"/>
    <w:rsid w:val="00F40B15"/>
    <w:rsid w:val="00F441B3"/>
    <w:rsid w:val="00F44D7E"/>
    <w:rsid w:val="00F512D7"/>
    <w:rsid w:val="00F519FC"/>
    <w:rsid w:val="00F522D8"/>
    <w:rsid w:val="00F557F6"/>
    <w:rsid w:val="00F57DB5"/>
    <w:rsid w:val="00F6005F"/>
    <w:rsid w:val="00F60284"/>
    <w:rsid w:val="00F6242D"/>
    <w:rsid w:val="00F65E7B"/>
    <w:rsid w:val="00F67390"/>
    <w:rsid w:val="00F70175"/>
    <w:rsid w:val="00F706B9"/>
    <w:rsid w:val="00F70A00"/>
    <w:rsid w:val="00F71D66"/>
    <w:rsid w:val="00F71E14"/>
    <w:rsid w:val="00F73CEF"/>
    <w:rsid w:val="00F7683C"/>
    <w:rsid w:val="00F84E75"/>
    <w:rsid w:val="00F86F9C"/>
    <w:rsid w:val="00F91EB5"/>
    <w:rsid w:val="00F94A66"/>
    <w:rsid w:val="00F9533A"/>
    <w:rsid w:val="00F95CA5"/>
    <w:rsid w:val="00F977E9"/>
    <w:rsid w:val="00FA112C"/>
    <w:rsid w:val="00FC3FC4"/>
    <w:rsid w:val="00FC4EFB"/>
    <w:rsid w:val="00FC5125"/>
    <w:rsid w:val="00FD5BBF"/>
    <w:rsid w:val="00FD5BC6"/>
    <w:rsid w:val="00FE63DB"/>
    <w:rsid w:val="00FE737F"/>
    <w:rsid w:val="00FF2938"/>
    <w:rsid w:val="00FF304F"/>
    <w:rsid w:val="00FF3FF8"/>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864E4E"/>
  <w15:chartTrackingRefBased/>
  <w15:docId w15:val="{916DBADF-D6A4-4559-95F8-CBACAE026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1817"/>
    <w:pPr>
      <w:spacing w:before="120" w:after="0" w:line="240" w:lineRule="auto"/>
      <w:jc w:val="both"/>
    </w:pPr>
    <w:rPr>
      <w:rFonts w:ascii="Times New Roman" w:hAnsi="Times New Roman"/>
      <w:sz w:val="24"/>
    </w:rPr>
  </w:style>
  <w:style w:type="paragraph" w:styleId="Titre1">
    <w:name w:val="heading 1"/>
    <w:basedOn w:val="Normal"/>
    <w:next w:val="Normal"/>
    <w:link w:val="Titre1Car"/>
    <w:uiPriority w:val="9"/>
    <w:qFormat/>
    <w:rsid w:val="007179AC"/>
    <w:pPr>
      <w:keepNext/>
      <w:keepLines/>
      <w:numPr>
        <w:numId w:val="8"/>
      </w:numPr>
      <w:spacing w:before="360" w:after="80"/>
      <w:outlineLvl w:val="0"/>
    </w:pPr>
    <w:rPr>
      <w:rFonts w:asciiTheme="majorHAnsi" w:eastAsiaTheme="majorEastAsia" w:hAnsiTheme="majorHAnsi" w:cstheme="majorBidi"/>
      <w:sz w:val="28"/>
      <w:szCs w:val="40"/>
    </w:rPr>
  </w:style>
  <w:style w:type="paragraph" w:styleId="Titre2">
    <w:name w:val="heading 2"/>
    <w:basedOn w:val="Normal"/>
    <w:next w:val="Normal"/>
    <w:link w:val="Titre2Car"/>
    <w:uiPriority w:val="9"/>
    <w:unhideWhenUsed/>
    <w:qFormat/>
    <w:rsid w:val="0024442C"/>
    <w:pPr>
      <w:keepNext/>
      <w:keepLines/>
      <w:numPr>
        <w:numId w:val="9"/>
      </w:numPr>
      <w:spacing w:before="160" w:after="80"/>
      <w:outlineLvl w:val="1"/>
    </w:pPr>
    <w:rPr>
      <w:rFonts w:asciiTheme="majorHAnsi" w:eastAsiaTheme="majorEastAsia" w:hAnsiTheme="majorHAnsi" w:cstheme="majorBidi"/>
      <w:szCs w:val="32"/>
    </w:rPr>
  </w:style>
  <w:style w:type="paragraph" w:styleId="Titre3">
    <w:name w:val="heading 3"/>
    <w:basedOn w:val="Normal"/>
    <w:next w:val="Normal"/>
    <w:link w:val="Titre3Car"/>
    <w:uiPriority w:val="9"/>
    <w:semiHidden/>
    <w:unhideWhenUsed/>
    <w:qFormat/>
    <w:rsid w:val="008B32BD"/>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8B32BD"/>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itre5">
    <w:name w:val="heading 5"/>
    <w:basedOn w:val="Normal"/>
    <w:next w:val="Normal"/>
    <w:link w:val="Titre5Car"/>
    <w:uiPriority w:val="9"/>
    <w:semiHidden/>
    <w:unhideWhenUsed/>
    <w:qFormat/>
    <w:rsid w:val="008B32BD"/>
    <w:pPr>
      <w:keepNext/>
      <w:keepLines/>
      <w:spacing w:before="80" w:after="40"/>
      <w:outlineLvl w:val="4"/>
    </w:pPr>
    <w:rPr>
      <w:rFonts w:asciiTheme="minorHAnsi" w:eastAsiaTheme="majorEastAsia" w:hAnsiTheme="minorHAnsi" w:cstheme="majorBidi"/>
      <w:color w:val="0F4761" w:themeColor="accent1" w:themeShade="BF"/>
    </w:rPr>
  </w:style>
  <w:style w:type="paragraph" w:styleId="Titre6">
    <w:name w:val="heading 6"/>
    <w:basedOn w:val="Normal"/>
    <w:next w:val="Normal"/>
    <w:link w:val="Titre6Car"/>
    <w:uiPriority w:val="9"/>
    <w:semiHidden/>
    <w:unhideWhenUsed/>
    <w:qFormat/>
    <w:rsid w:val="008B32BD"/>
    <w:pPr>
      <w:keepNext/>
      <w:keepLines/>
      <w:spacing w:before="40"/>
      <w:outlineLvl w:val="5"/>
    </w:pPr>
    <w:rPr>
      <w:rFonts w:asciiTheme="minorHAnsi" w:eastAsiaTheme="majorEastAsia" w:hAnsiTheme="minorHAnsi" w:cstheme="majorBidi"/>
      <w:i/>
      <w:iCs/>
      <w:color w:val="595959" w:themeColor="text1" w:themeTint="A6"/>
    </w:rPr>
  </w:style>
  <w:style w:type="paragraph" w:styleId="Titre7">
    <w:name w:val="heading 7"/>
    <w:basedOn w:val="Normal"/>
    <w:next w:val="Normal"/>
    <w:link w:val="Titre7Car"/>
    <w:uiPriority w:val="9"/>
    <w:semiHidden/>
    <w:unhideWhenUsed/>
    <w:qFormat/>
    <w:rsid w:val="008B32BD"/>
    <w:pPr>
      <w:keepNext/>
      <w:keepLines/>
      <w:spacing w:before="40"/>
      <w:outlineLvl w:val="6"/>
    </w:pPr>
    <w:rPr>
      <w:rFonts w:asciiTheme="minorHAnsi" w:eastAsiaTheme="majorEastAsia" w:hAnsiTheme="minorHAnsi" w:cstheme="majorBidi"/>
      <w:color w:val="595959" w:themeColor="text1" w:themeTint="A6"/>
    </w:rPr>
  </w:style>
  <w:style w:type="paragraph" w:styleId="Titre8">
    <w:name w:val="heading 8"/>
    <w:basedOn w:val="Normal"/>
    <w:next w:val="Normal"/>
    <w:link w:val="Titre8Car"/>
    <w:uiPriority w:val="9"/>
    <w:semiHidden/>
    <w:unhideWhenUsed/>
    <w:qFormat/>
    <w:rsid w:val="008B32BD"/>
    <w:pPr>
      <w:keepNext/>
      <w:keepLines/>
      <w:spacing w:before="0"/>
      <w:outlineLvl w:val="7"/>
    </w:pPr>
    <w:rPr>
      <w:rFonts w:asciiTheme="minorHAnsi" w:eastAsiaTheme="majorEastAsia" w:hAnsiTheme="minorHAnsi" w:cstheme="majorBidi"/>
      <w:i/>
      <w:iCs/>
      <w:color w:val="272727" w:themeColor="text1" w:themeTint="D8"/>
    </w:rPr>
  </w:style>
  <w:style w:type="paragraph" w:styleId="Titre9">
    <w:name w:val="heading 9"/>
    <w:basedOn w:val="Normal"/>
    <w:next w:val="Normal"/>
    <w:link w:val="Titre9Car"/>
    <w:uiPriority w:val="9"/>
    <w:semiHidden/>
    <w:unhideWhenUsed/>
    <w:qFormat/>
    <w:rsid w:val="008B32BD"/>
    <w:pPr>
      <w:keepNext/>
      <w:keepLines/>
      <w:spacing w:before="0"/>
      <w:outlineLvl w:val="8"/>
    </w:pPr>
    <w:rPr>
      <w:rFonts w:asciiTheme="minorHAnsi" w:eastAsiaTheme="majorEastAsia" w:hAnsiTheme="minorHAnsi"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semiHidden/>
    <w:unhideWhenUsed/>
    <w:rsid w:val="00494548"/>
    <w:pPr>
      <w:spacing w:before="0"/>
    </w:pPr>
    <w:rPr>
      <w:sz w:val="20"/>
      <w:szCs w:val="20"/>
    </w:rPr>
  </w:style>
  <w:style w:type="character" w:customStyle="1" w:styleId="NotedebasdepageCar">
    <w:name w:val="Note de bas de page Car"/>
    <w:basedOn w:val="Policepardfaut"/>
    <w:link w:val="Notedebasdepage"/>
    <w:uiPriority w:val="99"/>
    <w:semiHidden/>
    <w:rsid w:val="00494548"/>
    <w:rPr>
      <w:rFonts w:ascii="Times New Roman" w:hAnsi="Times New Roman"/>
      <w:sz w:val="20"/>
      <w:szCs w:val="20"/>
    </w:rPr>
  </w:style>
  <w:style w:type="character" w:styleId="Appelnotedebasdep">
    <w:name w:val="footnote reference"/>
    <w:basedOn w:val="Policepardfaut"/>
    <w:uiPriority w:val="99"/>
    <w:semiHidden/>
    <w:unhideWhenUsed/>
    <w:rsid w:val="00494548"/>
    <w:rPr>
      <w:vertAlign w:val="superscript"/>
    </w:rPr>
  </w:style>
  <w:style w:type="character" w:styleId="Lienhypertexte">
    <w:name w:val="Hyperlink"/>
    <w:basedOn w:val="Policepardfaut"/>
    <w:uiPriority w:val="99"/>
    <w:unhideWhenUsed/>
    <w:rsid w:val="00494548"/>
    <w:rPr>
      <w:color w:val="467886" w:themeColor="hyperlink"/>
      <w:u w:val="single"/>
    </w:rPr>
  </w:style>
  <w:style w:type="character" w:styleId="Mentionnonrsolue">
    <w:name w:val="Unresolved Mention"/>
    <w:basedOn w:val="Policepardfaut"/>
    <w:uiPriority w:val="99"/>
    <w:semiHidden/>
    <w:unhideWhenUsed/>
    <w:rsid w:val="00494548"/>
    <w:rPr>
      <w:color w:val="605E5C"/>
      <w:shd w:val="clear" w:color="auto" w:fill="E1DFDD"/>
    </w:rPr>
  </w:style>
  <w:style w:type="character" w:customStyle="1" w:styleId="Titre1Car">
    <w:name w:val="Titre 1 Car"/>
    <w:basedOn w:val="Policepardfaut"/>
    <w:link w:val="Titre1"/>
    <w:uiPriority w:val="9"/>
    <w:rsid w:val="007179AC"/>
    <w:rPr>
      <w:rFonts w:asciiTheme="majorHAnsi" w:eastAsiaTheme="majorEastAsia" w:hAnsiTheme="majorHAnsi" w:cstheme="majorBidi"/>
      <w:sz w:val="28"/>
      <w:szCs w:val="40"/>
    </w:rPr>
  </w:style>
  <w:style w:type="character" w:customStyle="1" w:styleId="Titre2Car">
    <w:name w:val="Titre 2 Car"/>
    <w:basedOn w:val="Policepardfaut"/>
    <w:link w:val="Titre2"/>
    <w:uiPriority w:val="9"/>
    <w:rsid w:val="0024442C"/>
    <w:rPr>
      <w:rFonts w:asciiTheme="majorHAnsi" w:eastAsiaTheme="majorEastAsia" w:hAnsiTheme="majorHAnsi" w:cstheme="majorBidi"/>
      <w:sz w:val="24"/>
      <w:szCs w:val="32"/>
    </w:rPr>
  </w:style>
  <w:style w:type="character" w:customStyle="1" w:styleId="Titre3Car">
    <w:name w:val="Titre 3 Car"/>
    <w:basedOn w:val="Policepardfaut"/>
    <w:link w:val="Titre3"/>
    <w:uiPriority w:val="9"/>
    <w:semiHidden/>
    <w:rsid w:val="008B32BD"/>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B32BD"/>
    <w:rPr>
      <w:rFonts w:eastAsiaTheme="majorEastAsia" w:cstheme="majorBidi"/>
      <w:i/>
      <w:iCs/>
      <w:color w:val="0F4761" w:themeColor="accent1" w:themeShade="BF"/>
      <w:sz w:val="24"/>
    </w:rPr>
  </w:style>
  <w:style w:type="character" w:customStyle="1" w:styleId="Titre5Car">
    <w:name w:val="Titre 5 Car"/>
    <w:basedOn w:val="Policepardfaut"/>
    <w:link w:val="Titre5"/>
    <w:uiPriority w:val="9"/>
    <w:semiHidden/>
    <w:rsid w:val="008B32BD"/>
    <w:rPr>
      <w:rFonts w:eastAsiaTheme="majorEastAsia" w:cstheme="majorBidi"/>
      <w:color w:val="0F4761" w:themeColor="accent1" w:themeShade="BF"/>
      <w:sz w:val="24"/>
    </w:rPr>
  </w:style>
  <w:style w:type="character" w:customStyle="1" w:styleId="Titre6Car">
    <w:name w:val="Titre 6 Car"/>
    <w:basedOn w:val="Policepardfaut"/>
    <w:link w:val="Titre6"/>
    <w:uiPriority w:val="9"/>
    <w:semiHidden/>
    <w:rsid w:val="008B32BD"/>
    <w:rPr>
      <w:rFonts w:eastAsiaTheme="majorEastAsia" w:cstheme="majorBidi"/>
      <w:i/>
      <w:iCs/>
      <w:color w:val="595959" w:themeColor="text1" w:themeTint="A6"/>
      <w:sz w:val="24"/>
    </w:rPr>
  </w:style>
  <w:style w:type="character" w:customStyle="1" w:styleId="Titre7Car">
    <w:name w:val="Titre 7 Car"/>
    <w:basedOn w:val="Policepardfaut"/>
    <w:link w:val="Titre7"/>
    <w:uiPriority w:val="9"/>
    <w:semiHidden/>
    <w:rsid w:val="008B32BD"/>
    <w:rPr>
      <w:rFonts w:eastAsiaTheme="majorEastAsia" w:cstheme="majorBidi"/>
      <w:color w:val="595959" w:themeColor="text1" w:themeTint="A6"/>
      <w:sz w:val="24"/>
    </w:rPr>
  </w:style>
  <w:style w:type="character" w:customStyle="1" w:styleId="Titre8Car">
    <w:name w:val="Titre 8 Car"/>
    <w:basedOn w:val="Policepardfaut"/>
    <w:link w:val="Titre8"/>
    <w:uiPriority w:val="9"/>
    <w:semiHidden/>
    <w:rsid w:val="008B32BD"/>
    <w:rPr>
      <w:rFonts w:eastAsiaTheme="majorEastAsia" w:cstheme="majorBidi"/>
      <w:i/>
      <w:iCs/>
      <w:color w:val="272727" w:themeColor="text1" w:themeTint="D8"/>
      <w:sz w:val="24"/>
    </w:rPr>
  </w:style>
  <w:style w:type="character" w:customStyle="1" w:styleId="Titre9Car">
    <w:name w:val="Titre 9 Car"/>
    <w:basedOn w:val="Policepardfaut"/>
    <w:link w:val="Titre9"/>
    <w:uiPriority w:val="9"/>
    <w:semiHidden/>
    <w:rsid w:val="008B32BD"/>
    <w:rPr>
      <w:rFonts w:eastAsiaTheme="majorEastAsia" w:cstheme="majorBidi"/>
      <w:color w:val="272727" w:themeColor="text1" w:themeTint="D8"/>
      <w:sz w:val="24"/>
    </w:rPr>
  </w:style>
  <w:style w:type="paragraph" w:styleId="Titre">
    <w:name w:val="Title"/>
    <w:basedOn w:val="Normal"/>
    <w:next w:val="Normal"/>
    <w:link w:val="TitreCar"/>
    <w:uiPriority w:val="10"/>
    <w:qFormat/>
    <w:rsid w:val="008B32BD"/>
    <w:pPr>
      <w:spacing w:before="0"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B32B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B32BD"/>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B32B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B32BD"/>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8B32BD"/>
    <w:rPr>
      <w:rFonts w:ascii="Times New Roman" w:hAnsi="Times New Roman"/>
      <w:i/>
      <w:iCs/>
      <w:color w:val="404040" w:themeColor="text1" w:themeTint="BF"/>
      <w:sz w:val="24"/>
    </w:rPr>
  </w:style>
  <w:style w:type="paragraph" w:styleId="Paragraphedeliste">
    <w:name w:val="List Paragraph"/>
    <w:basedOn w:val="Normal"/>
    <w:uiPriority w:val="34"/>
    <w:qFormat/>
    <w:rsid w:val="008B32BD"/>
    <w:pPr>
      <w:ind w:left="720"/>
      <w:contextualSpacing/>
    </w:pPr>
  </w:style>
  <w:style w:type="character" w:styleId="Accentuationintense">
    <w:name w:val="Intense Emphasis"/>
    <w:basedOn w:val="Policepardfaut"/>
    <w:uiPriority w:val="21"/>
    <w:qFormat/>
    <w:rsid w:val="008B32BD"/>
    <w:rPr>
      <w:i/>
      <w:iCs/>
      <w:color w:val="0F4761" w:themeColor="accent1" w:themeShade="BF"/>
    </w:rPr>
  </w:style>
  <w:style w:type="paragraph" w:styleId="Citationintense">
    <w:name w:val="Intense Quote"/>
    <w:basedOn w:val="Normal"/>
    <w:next w:val="Normal"/>
    <w:link w:val="CitationintenseCar"/>
    <w:uiPriority w:val="30"/>
    <w:qFormat/>
    <w:rsid w:val="008B32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B32BD"/>
    <w:rPr>
      <w:rFonts w:ascii="Times New Roman" w:hAnsi="Times New Roman"/>
      <w:i/>
      <w:iCs/>
      <w:color w:val="0F4761" w:themeColor="accent1" w:themeShade="BF"/>
      <w:sz w:val="24"/>
    </w:rPr>
  </w:style>
  <w:style w:type="character" w:styleId="Rfrenceintense">
    <w:name w:val="Intense Reference"/>
    <w:basedOn w:val="Policepardfaut"/>
    <w:uiPriority w:val="32"/>
    <w:qFormat/>
    <w:rsid w:val="008B32BD"/>
    <w:rPr>
      <w:b/>
      <w:bCs/>
      <w:smallCaps/>
      <w:color w:val="0F4761" w:themeColor="accent1" w:themeShade="BF"/>
      <w:spacing w:val="5"/>
    </w:rPr>
  </w:style>
  <w:style w:type="paragraph" w:styleId="Notedefin">
    <w:name w:val="endnote text"/>
    <w:basedOn w:val="Normal"/>
    <w:link w:val="NotedefinCar"/>
    <w:uiPriority w:val="99"/>
    <w:semiHidden/>
    <w:unhideWhenUsed/>
    <w:rsid w:val="008B32BD"/>
    <w:pPr>
      <w:spacing w:before="0"/>
    </w:pPr>
    <w:rPr>
      <w:sz w:val="20"/>
      <w:szCs w:val="20"/>
    </w:rPr>
  </w:style>
  <w:style w:type="character" w:customStyle="1" w:styleId="NotedefinCar">
    <w:name w:val="Note de fin Car"/>
    <w:basedOn w:val="Policepardfaut"/>
    <w:link w:val="Notedefin"/>
    <w:uiPriority w:val="99"/>
    <w:semiHidden/>
    <w:rsid w:val="008B32BD"/>
    <w:rPr>
      <w:rFonts w:ascii="Times New Roman" w:hAnsi="Times New Roman"/>
      <w:sz w:val="20"/>
      <w:szCs w:val="20"/>
    </w:rPr>
  </w:style>
  <w:style w:type="character" w:styleId="Appeldenotedefin">
    <w:name w:val="endnote reference"/>
    <w:basedOn w:val="Policepardfaut"/>
    <w:uiPriority w:val="99"/>
    <w:semiHidden/>
    <w:unhideWhenUsed/>
    <w:rsid w:val="008B32BD"/>
    <w:rPr>
      <w:vertAlign w:val="superscript"/>
    </w:rPr>
  </w:style>
  <w:style w:type="paragraph" w:styleId="Rvision">
    <w:name w:val="Revision"/>
    <w:hidden/>
    <w:uiPriority w:val="99"/>
    <w:semiHidden/>
    <w:rsid w:val="001E0F3F"/>
    <w:pPr>
      <w:spacing w:after="0" w:line="240" w:lineRule="auto"/>
    </w:pPr>
    <w:rPr>
      <w:rFonts w:ascii="Times New Roman" w:hAnsi="Times New Roman"/>
      <w:sz w:val="24"/>
    </w:rPr>
  </w:style>
  <w:style w:type="paragraph" w:styleId="Corpsdetexte">
    <w:name w:val="Body Text"/>
    <w:basedOn w:val="Normal"/>
    <w:link w:val="CorpsdetexteCar"/>
    <w:uiPriority w:val="99"/>
    <w:semiHidden/>
    <w:unhideWhenUsed/>
    <w:rsid w:val="00205A72"/>
    <w:pPr>
      <w:spacing w:after="120"/>
    </w:pPr>
  </w:style>
  <w:style w:type="character" w:customStyle="1" w:styleId="CorpsdetexteCar">
    <w:name w:val="Corps de texte Car"/>
    <w:basedOn w:val="Policepardfaut"/>
    <w:link w:val="Corpsdetexte"/>
    <w:uiPriority w:val="99"/>
    <w:semiHidden/>
    <w:rsid w:val="00205A72"/>
    <w:rPr>
      <w:rFonts w:ascii="Times New Roman" w:hAnsi="Times New Roman"/>
      <w:sz w:val="24"/>
    </w:rPr>
  </w:style>
  <w:style w:type="paragraph" w:styleId="En-tte">
    <w:name w:val="header"/>
    <w:basedOn w:val="Normal"/>
    <w:link w:val="En-tteCar"/>
    <w:uiPriority w:val="99"/>
    <w:unhideWhenUsed/>
    <w:rsid w:val="009A3C14"/>
    <w:pPr>
      <w:tabs>
        <w:tab w:val="center" w:pos="4536"/>
        <w:tab w:val="right" w:pos="9072"/>
      </w:tabs>
      <w:spacing w:before="0"/>
    </w:pPr>
  </w:style>
  <w:style w:type="character" w:customStyle="1" w:styleId="En-tteCar">
    <w:name w:val="En-tête Car"/>
    <w:basedOn w:val="Policepardfaut"/>
    <w:link w:val="En-tte"/>
    <w:uiPriority w:val="99"/>
    <w:rsid w:val="009A3C14"/>
    <w:rPr>
      <w:rFonts w:ascii="Times New Roman" w:hAnsi="Times New Roman"/>
      <w:sz w:val="24"/>
    </w:rPr>
  </w:style>
  <w:style w:type="paragraph" w:styleId="Pieddepage">
    <w:name w:val="footer"/>
    <w:basedOn w:val="Normal"/>
    <w:link w:val="PieddepageCar"/>
    <w:uiPriority w:val="99"/>
    <w:unhideWhenUsed/>
    <w:rsid w:val="009A3C14"/>
    <w:pPr>
      <w:tabs>
        <w:tab w:val="center" w:pos="4536"/>
        <w:tab w:val="right" w:pos="9072"/>
      </w:tabs>
      <w:spacing w:before="0"/>
    </w:pPr>
  </w:style>
  <w:style w:type="character" w:customStyle="1" w:styleId="PieddepageCar">
    <w:name w:val="Pied de page Car"/>
    <w:basedOn w:val="Policepardfaut"/>
    <w:link w:val="Pieddepage"/>
    <w:uiPriority w:val="99"/>
    <w:rsid w:val="009A3C14"/>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1111021">
      <w:bodyDiv w:val="1"/>
      <w:marLeft w:val="0"/>
      <w:marRight w:val="0"/>
      <w:marTop w:val="0"/>
      <w:marBottom w:val="0"/>
      <w:divBdr>
        <w:top w:val="none" w:sz="0" w:space="0" w:color="auto"/>
        <w:left w:val="none" w:sz="0" w:space="0" w:color="auto"/>
        <w:bottom w:val="none" w:sz="0" w:space="0" w:color="auto"/>
        <w:right w:val="none" w:sz="0" w:space="0" w:color="auto"/>
      </w:divBdr>
    </w:div>
    <w:div w:id="632322261">
      <w:bodyDiv w:val="1"/>
      <w:marLeft w:val="0"/>
      <w:marRight w:val="0"/>
      <w:marTop w:val="0"/>
      <w:marBottom w:val="0"/>
      <w:divBdr>
        <w:top w:val="none" w:sz="0" w:space="0" w:color="auto"/>
        <w:left w:val="none" w:sz="0" w:space="0" w:color="auto"/>
        <w:bottom w:val="none" w:sz="0" w:space="0" w:color="auto"/>
        <w:right w:val="none" w:sz="0" w:space="0" w:color="auto"/>
      </w:divBdr>
    </w:div>
    <w:div w:id="681276124">
      <w:bodyDiv w:val="1"/>
      <w:marLeft w:val="0"/>
      <w:marRight w:val="0"/>
      <w:marTop w:val="0"/>
      <w:marBottom w:val="0"/>
      <w:divBdr>
        <w:top w:val="none" w:sz="0" w:space="0" w:color="auto"/>
        <w:left w:val="none" w:sz="0" w:space="0" w:color="auto"/>
        <w:bottom w:val="none" w:sz="0" w:space="0" w:color="auto"/>
        <w:right w:val="none" w:sz="0" w:space="0" w:color="auto"/>
      </w:divBdr>
    </w:div>
    <w:div w:id="796417551">
      <w:bodyDiv w:val="1"/>
      <w:marLeft w:val="0"/>
      <w:marRight w:val="0"/>
      <w:marTop w:val="0"/>
      <w:marBottom w:val="0"/>
      <w:divBdr>
        <w:top w:val="none" w:sz="0" w:space="0" w:color="auto"/>
        <w:left w:val="none" w:sz="0" w:space="0" w:color="auto"/>
        <w:bottom w:val="none" w:sz="0" w:space="0" w:color="auto"/>
        <w:right w:val="none" w:sz="0" w:space="0" w:color="auto"/>
      </w:divBdr>
      <w:divsChild>
        <w:div w:id="126971556">
          <w:marLeft w:val="0"/>
          <w:marRight w:val="0"/>
          <w:marTop w:val="0"/>
          <w:marBottom w:val="0"/>
          <w:divBdr>
            <w:top w:val="none" w:sz="0" w:space="0" w:color="auto"/>
            <w:left w:val="none" w:sz="0" w:space="0" w:color="auto"/>
            <w:bottom w:val="none" w:sz="0" w:space="0" w:color="auto"/>
            <w:right w:val="none" w:sz="0" w:space="0" w:color="auto"/>
          </w:divBdr>
          <w:divsChild>
            <w:div w:id="1343242491">
              <w:marLeft w:val="0"/>
              <w:marRight w:val="0"/>
              <w:marTop w:val="0"/>
              <w:marBottom w:val="0"/>
              <w:divBdr>
                <w:top w:val="none" w:sz="0" w:space="0" w:color="auto"/>
                <w:left w:val="none" w:sz="0" w:space="0" w:color="auto"/>
                <w:bottom w:val="none" w:sz="0" w:space="0" w:color="auto"/>
                <w:right w:val="none" w:sz="0" w:space="0" w:color="auto"/>
              </w:divBdr>
              <w:divsChild>
                <w:div w:id="689792526">
                  <w:marLeft w:val="0"/>
                  <w:marRight w:val="0"/>
                  <w:marTop w:val="0"/>
                  <w:marBottom w:val="0"/>
                  <w:divBdr>
                    <w:top w:val="none" w:sz="0" w:space="0" w:color="auto"/>
                    <w:left w:val="none" w:sz="0" w:space="0" w:color="auto"/>
                    <w:bottom w:val="none" w:sz="0" w:space="0" w:color="auto"/>
                    <w:right w:val="none" w:sz="0" w:space="0" w:color="auto"/>
                  </w:divBdr>
                  <w:divsChild>
                    <w:div w:id="1580366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440863">
          <w:marLeft w:val="0"/>
          <w:marRight w:val="0"/>
          <w:marTop w:val="0"/>
          <w:marBottom w:val="0"/>
          <w:divBdr>
            <w:top w:val="none" w:sz="0" w:space="0" w:color="auto"/>
            <w:left w:val="none" w:sz="0" w:space="0" w:color="auto"/>
            <w:bottom w:val="none" w:sz="0" w:space="0" w:color="auto"/>
            <w:right w:val="none" w:sz="0" w:space="0" w:color="auto"/>
          </w:divBdr>
          <w:divsChild>
            <w:div w:id="1818300856">
              <w:marLeft w:val="0"/>
              <w:marRight w:val="0"/>
              <w:marTop w:val="0"/>
              <w:marBottom w:val="0"/>
              <w:divBdr>
                <w:top w:val="none" w:sz="0" w:space="0" w:color="auto"/>
                <w:left w:val="none" w:sz="0" w:space="0" w:color="auto"/>
                <w:bottom w:val="none" w:sz="0" w:space="0" w:color="auto"/>
                <w:right w:val="none" w:sz="0" w:space="0" w:color="auto"/>
              </w:divBdr>
              <w:divsChild>
                <w:div w:id="1716853825">
                  <w:marLeft w:val="0"/>
                  <w:marRight w:val="0"/>
                  <w:marTop w:val="0"/>
                  <w:marBottom w:val="0"/>
                  <w:divBdr>
                    <w:top w:val="none" w:sz="0" w:space="0" w:color="auto"/>
                    <w:left w:val="none" w:sz="0" w:space="0" w:color="auto"/>
                    <w:bottom w:val="none" w:sz="0" w:space="0" w:color="auto"/>
                    <w:right w:val="none" w:sz="0" w:space="0" w:color="auto"/>
                  </w:divBdr>
                  <w:divsChild>
                    <w:div w:id="11744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034991">
          <w:marLeft w:val="0"/>
          <w:marRight w:val="0"/>
          <w:marTop w:val="0"/>
          <w:marBottom w:val="0"/>
          <w:divBdr>
            <w:top w:val="none" w:sz="0" w:space="0" w:color="auto"/>
            <w:left w:val="none" w:sz="0" w:space="0" w:color="auto"/>
            <w:bottom w:val="none" w:sz="0" w:space="0" w:color="auto"/>
            <w:right w:val="none" w:sz="0" w:space="0" w:color="auto"/>
          </w:divBdr>
          <w:divsChild>
            <w:div w:id="1474718256">
              <w:marLeft w:val="0"/>
              <w:marRight w:val="0"/>
              <w:marTop w:val="0"/>
              <w:marBottom w:val="0"/>
              <w:divBdr>
                <w:top w:val="none" w:sz="0" w:space="0" w:color="auto"/>
                <w:left w:val="none" w:sz="0" w:space="0" w:color="auto"/>
                <w:bottom w:val="none" w:sz="0" w:space="0" w:color="auto"/>
                <w:right w:val="none" w:sz="0" w:space="0" w:color="auto"/>
              </w:divBdr>
              <w:divsChild>
                <w:div w:id="1876890260">
                  <w:marLeft w:val="0"/>
                  <w:marRight w:val="0"/>
                  <w:marTop w:val="0"/>
                  <w:marBottom w:val="0"/>
                  <w:divBdr>
                    <w:top w:val="none" w:sz="0" w:space="0" w:color="auto"/>
                    <w:left w:val="none" w:sz="0" w:space="0" w:color="auto"/>
                    <w:bottom w:val="none" w:sz="0" w:space="0" w:color="auto"/>
                    <w:right w:val="none" w:sz="0" w:space="0" w:color="auto"/>
                  </w:divBdr>
                  <w:divsChild>
                    <w:div w:id="58400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0386236">
      <w:bodyDiv w:val="1"/>
      <w:marLeft w:val="0"/>
      <w:marRight w:val="0"/>
      <w:marTop w:val="0"/>
      <w:marBottom w:val="0"/>
      <w:divBdr>
        <w:top w:val="none" w:sz="0" w:space="0" w:color="auto"/>
        <w:left w:val="none" w:sz="0" w:space="0" w:color="auto"/>
        <w:bottom w:val="none" w:sz="0" w:space="0" w:color="auto"/>
        <w:right w:val="none" w:sz="0" w:space="0" w:color="auto"/>
      </w:divBdr>
    </w:div>
    <w:div w:id="911502394">
      <w:bodyDiv w:val="1"/>
      <w:marLeft w:val="0"/>
      <w:marRight w:val="0"/>
      <w:marTop w:val="0"/>
      <w:marBottom w:val="0"/>
      <w:divBdr>
        <w:top w:val="none" w:sz="0" w:space="0" w:color="auto"/>
        <w:left w:val="none" w:sz="0" w:space="0" w:color="auto"/>
        <w:bottom w:val="none" w:sz="0" w:space="0" w:color="auto"/>
        <w:right w:val="none" w:sz="0" w:space="0" w:color="auto"/>
      </w:divBdr>
    </w:div>
    <w:div w:id="983893190">
      <w:bodyDiv w:val="1"/>
      <w:marLeft w:val="0"/>
      <w:marRight w:val="0"/>
      <w:marTop w:val="0"/>
      <w:marBottom w:val="0"/>
      <w:divBdr>
        <w:top w:val="none" w:sz="0" w:space="0" w:color="auto"/>
        <w:left w:val="none" w:sz="0" w:space="0" w:color="auto"/>
        <w:bottom w:val="none" w:sz="0" w:space="0" w:color="auto"/>
        <w:right w:val="none" w:sz="0" w:space="0" w:color="auto"/>
      </w:divBdr>
    </w:div>
    <w:div w:id="989791964">
      <w:bodyDiv w:val="1"/>
      <w:marLeft w:val="0"/>
      <w:marRight w:val="0"/>
      <w:marTop w:val="0"/>
      <w:marBottom w:val="0"/>
      <w:divBdr>
        <w:top w:val="none" w:sz="0" w:space="0" w:color="auto"/>
        <w:left w:val="none" w:sz="0" w:space="0" w:color="auto"/>
        <w:bottom w:val="none" w:sz="0" w:space="0" w:color="auto"/>
        <w:right w:val="none" w:sz="0" w:space="0" w:color="auto"/>
      </w:divBdr>
    </w:div>
    <w:div w:id="1053970236">
      <w:bodyDiv w:val="1"/>
      <w:marLeft w:val="0"/>
      <w:marRight w:val="0"/>
      <w:marTop w:val="0"/>
      <w:marBottom w:val="0"/>
      <w:divBdr>
        <w:top w:val="none" w:sz="0" w:space="0" w:color="auto"/>
        <w:left w:val="none" w:sz="0" w:space="0" w:color="auto"/>
        <w:bottom w:val="none" w:sz="0" w:space="0" w:color="auto"/>
        <w:right w:val="none" w:sz="0" w:space="0" w:color="auto"/>
      </w:divBdr>
    </w:div>
    <w:div w:id="1230843324">
      <w:bodyDiv w:val="1"/>
      <w:marLeft w:val="0"/>
      <w:marRight w:val="0"/>
      <w:marTop w:val="0"/>
      <w:marBottom w:val="0"/>
      <w:divBdr>
        <w:top w:val="none" w:sz="0" w:space="0" w:color="auto"/>
        <w:left w:val="none" w:sz="0" w:space="0" w:color="auto"/>
        <w:bottom w:val="none" w:sz="0" w:space="0" w:color="auto"/>
        <w:right w:val="none" w:sz="0" w:space="0" w:color="auto"/>
      </w:divBdr>
    </w:div>
    <w:div w:id="1247501014">
      <w:bodyDiv w:val="1"/>
      <w:marLeft w:val="0"/>
      <w:marRight w:val="0"/>
      <w:marTop w:val="0"/>
      <w:marBottom w:val="0"/>
      <w:divBdr>
        <w:top w:val="none" w:sz="0" w:space="0" w:color="auto"/>
        <w:left w:val="none" w:sz="0" w:space="0" w:color="auto"/>
        <w:bottom w:val="none" w:sz="0" w:space="0" w:color="auto"/>
        <w:right w:val="none" w:sz="0" w:space="0" w:color="auto"/>
      </w:divBdr>
    </w:div>
    <w:div w:id="1249582793">
      <w:bodyDiv w:val="1"/>
      <w:marLeft w:val="0"/>
      <w:marRight w:val="0"/>
      <w:marTop w:val="0"/>
      <w:marBottom w:val="0"/>
      <w:divBdr>
        <w:top w:val="none" w:sz="0" w:space="0" w:color="auto"/>
        <w:left w:val="none" w:sz="0" w:space="0" w:color="auto"/>
        <w:bottom w:val="none" w:sz="0" w:space="0" w:color="auto"/>
        <w:right w:val="none" w:sz="0" w:space="0" w:color="auto"/>
      </w:divBdr>
    </w:div>
    <w:div w:id="1333216501">
      <w:bodyDiv w:val="1"/>
      <w:marLeft w:val="0"/>
      <w:marRight w:val="0"/>
      <w:marTop w:val="0"/>
      <w:marBottom w:val="0"/>
      <w:divBdr>
        <w:top w:val="none" w:sz="0" w:space="0" w:color="auto"/>
        <w:left w:val="none" w:sz="0" w:space="0" w:color="auto"/>
        <w:bottom w:val="none" w:sz="0" w:space="0" w:color="auto"/>
        <w:right w:val="none" w:sz="0" w:space="0" w:color="auto"/>
      </w:divBdr>
    </w:div>
    <w:div w:id="1338724811">
      <w:bodyDiv w:val="1"/>
      <w:marLeft w:val="0"/>
      <w:marRight w:val="0"/>
      <w:marTop w:val="0"/>
      <w:marBottom w:val="0"/>
      <w:divBdr>
        <w:top w:val="none" w:sz="0" w:space="0" w:color="auto"/>
        <w:left w:val="none" w:sz="0" w:space="0" w:color="auto"/>
        <w:bottom w:val="none" w:sz="0" w:space="0" w:color="auto"/>
        <w:right w:val="none" w:sz="0" w:space="0" w:color="auto"/>
      </w:divBdr>
    </w:div>
    <w:div w:id="1421684456">
      <w:bodyDiv w:val="1"/>
      <w:marLeft w:val="0"/>
      <w:marRight w:val="0"/>
      <w:marTop w:val="0"/>
      <w:marBottom w:val="0"/>
      <w:divBdr>
        <w:top w:val="none" w:sz="0" w:space="0" w:color="auto"/>
        <w:left w:val="none" w:sz="0" w:space="0" w:color="auto"/>
        <w:bottom w:val="none" w:sz="0" w:space="0" w:color="auto"/>
        <w:right w:val="none" w:sz="0" w:space="0" w:color="auto"/>
      </w:divBdr>
    </w:div>
    <w:div w:id="1548642206">
      <w:bodyDiv w:val="1"/>
      <w:marLeft w:val="0"/>
      <w:marRight w:val="0"/>
      <w:marTop w:val="0"/>
      <w:marBottom w:val="0"/>
      <w:divBdr>
        <w:top w:val="none" w:sz="0" w:space="0" w:color="auto"/>
        <w:left w:val="none" w:sz="0" w:space="0" w:color="auto"/>
        <w:bottom w:val="none" w:sz="0" w:space="0" w:color="auto"/>
        <w:right w:val="none" w:sz="0" w:space="0" w:color="auto"/>
      </w:divBdr>
      <w:divsChild>
        <w:div w:id="351341354">
          <w:blockQuote w:val="1"/>
          <w:marLeft w:val="720"/>
          <w:marRight w:val="720"/>
          <w:marTop w:val="100"/>
          <w:marBottom w:val="100"/>
          <w:divBdr>
            <w:top w:val="none" w:sz="0" w:space="0" w:color="auto"/>
            <w:left w:val="none" w:sz="0" w:space="0" w:color="auto"/>
            <w:bottom w:val="none" w:sz="0" w:space="0" w:color="auto"/>
            <w:right w:val="none" w:sz="0" w:space="0" w:color="auto"/>
          </w:divBdr>
        </w:div>
        <w:div w:id="7716306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19019431">
      <w:bodyDiv w:val="1"/>
      <w:marLeft w:val="0"/>
      <w:marRight w:val="0"/>
      <w:marTop w:val="0"/>
      <w:marBottom w:val="0"/>
      <w:divBdr>
        <w:top w:val="none" w:sz="0" w:space="0" w:color="auto"/>
        <w:left w:val="none" w:sz="0" w:space="0" w:color="auto"/>
        <w:bottom w:val="none" w:sz="0" w:space="0" w:color="auto"/>
        <w:right w:val="none" w:sz="0" w:space="0" w:color="auto"/>
      </w:divBdr>
      <w:divsChild>
        <w:div w:id="169880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2133493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35600537">
      <w:bodyDiv w:val="1"/>
      <w:marLeft w:val="0"/>
      <w:marRight w:val="0"/>
      <w:marTop w:val="0"/>
      <w:marBottom w:val="0"/>
      <w:divBdr>
        <w:top w:val="none" w:sz="0" w:space="0" w:color="auto"/>
        <w:left w:val="none" w:sz="0" w:space="0" w:color="auto"/>
        <w:bottom w:val="none" w:sz="0" w:space="0" w:color="auto"/>
        <w:right w:val="none" w:sz="0" w:space="0" w:color="auto"/>
      </w:divBdr>
    </w:div>
    <w:div w:id="1725178132">
      <w:bodyDiv w:val="1"/>
      <w:marLeft w:val="0"/>
      <w:marRight w:val="0"/>
      <w:marTop w:val="0"/>
      <w:marBottom w:val="0"/>
      <w:divBdr>
        <w:top w:val="none" w:sz="0" w:space="0" w:color="auto"/>
        <w:left w:val="none" w:sz="0" w:space="0" w:color="auto"/>
        <w:bottom w:val="none" w:sz="0" w:space="0" w:color="auto"/>
        <w:right w:val="none" w:sz="0" w:space="0" w:color="auto"/>
      </w:divBdr>
    </w:div>
    <w:div w:id="1774744746">
      <w:bodyDiv w:val="1"/>
      <w:marLeft w:val="0"/>
      <w:marRight w:val="0"/>
      <w:marTop w:val="0"/>
      <w:marBottom w:val="0"/>
      <w:divBdr>
        <w:top w:val="none" w:sz="0" w:space="0" w:color="auto"/>
        <w:left w:val="none" w:sz="0" w:space="0" w:color="auto"/>
        <w:bottom w:val="none" w:sz="0" w:space="0" w:color="auto"/>
        <w:right w:val="none" w:sz="0" w:space="0" w:color="auto"/>
      </w:divBdr>
    </w:div>
    <w:div w:id="1800143289">
      <w:bodyDiv w:val="1"/>
      <w:marLeft w:val="0"/>
      <w:marRight w:val="0"/>
      <w:marTop w:val="0"/>
      <w:marBottom w:val="0"/>
      <w:divBdr>
        <w:top w:val="none" w:sz="0" w:space="0" w:color="auto"/>
        <w:left w:val="none" w:sz="0" w:space="0" w:color="auto"/>
        <w:bottom w:val="none" w:sz="0" w:space="0" w:color="auto"/>
        <w:right w:val="none" w:sz="0" w:space="0" w:color="auto"/>
      </w:divBdr>
    </w:div>
    <w:div w:id="1960338502">
      <w:bodyDiv w:val="1"/>
      <w:marLeft w:val="0"/>
      <w:marRight w:val="0"/>
      <w:marTop w:val="0"/>
      <w:marBottom w:val="0"/>
      <w:divBdr>
        <w:top w:val="none" w:sz="0" w:space="0" w:color="auto"/>
        <w:left w:val="none" w:sz="0" w:space="0" w:color="auto"/>
        <w:bottom w:val="none" w:sz="0" w:space="0" w:color="auto"/>
        <w:right w:val="none" w:sz="0" w:space="0" w:color="auto"/>
      </w:divBdr>
    </w:div>
    <w:div w:id="2002266822">
      <w:bodyDiv w:val="1"/>
      <w:marLeft w:val="0"/>
      <w:marRight w:val="0"/>
      <w:marTop w:val="0"/>
      <w:marBottom w:val="0"/>
      <w:divBdr>
        <w:top w:val="none" w:sz="0" w:space="0" w:color="auto"/>
        <w:left w:val="none" w:sz="0" w:space="0" w:color="auto"/>
        <w:bottom w:val="none" w:sz="0" w:space="0" w:color="auto"/>
        <w:right w:val="none" w:sz="0" w:space="0" w:color="auto"/>
      </w:divBdr>
    </w:div>
    <w:div w:id="2060665334">
      <w:bodyDiv w:val="1"/>
      <w:marLeft w:val="0"/>
      <w:marRight w:val="0"/>
      <w:marTop w:val="0"/>
      <w:marBottom w:val="0"/>
      <w:divBdr>
        <w:top w:val="none" w:sz="0" w:space="0" w:color="auto"/>
        <w:left w:val="none" w:sz="0" w:space="0" w:color="auto"/>
        <w:bottom w:val="none" w:sz="0" w:space="0" w:color="auto"/>
        <w:right w:val="none" w:sz="0" w:space="0" w:color="auto"/>
      </w:divBdr>
      <w:divsChild>
        <w:div w:id="684209298">
          <w:marLeft w:val="0"/>
          <w:marRight w:val="0"/>
          <w:marTop w:val="0"/>
          <w:marBottom w:val="0"/>
          <w:divBdr>
            <w:top w:val="none" w:sz="0" w:space="0" w:color="auto"/>
            <w:left w:val="none" w:sz="0" w:space="0" w:color="auto"/>
            <w:bottom w:val="none" w:sz="0" w:space="0" w:color="auto"/>
            <w:right w:val="none" w:sz="0" w:space="0" w:color="auto"/>
          </w:divBdr>
          <w:divsChild>
            <w:div w:id="2095935280">
              <w:marLeft w:val="0"/>
              <w:marRight w:val="0"/>
              <w:marTop w:val="0"/>
              <w:marBottom w:val="0"/>
              <w:divBdr>
                <w:top w:val="none" w:sz="0" w:space="0" w:color="auto"/>
                <w:left w:val="none" w:sz="0" w:space="0" w:color="auto"/>
                <w:bottom w:val="none" w:sz="0" w:space="0" w:color="auto"/>
                <w:right w:val="none" w:sz="0" w:space="0" w:color="auto"/>
              </w:divBdr>
              <w:divsChild>
                <w:div w:id="1604452906">
                  <w:marLeft w:val="0"/>
                  <w:marRight w:val="0"/>
                  <w:marTop w:val="0"/>
                  <w:marBottom w:val="0"/>
                  <w:divBdr>
                    <w:top w:val="none" w:sz="0" w:space="0" w:color="auto"/>
                    <w:left w:val="none" w:sz="0" w:space="0" w:color="auto"/>
                    <w:bottom w:val="none" w:sz="0" w:space="0" w:color="auto"/>
                    <w:right w:val="none" w:sz="0" w:space="0" w:color="auto"/>
                  </w:divBdr>
                  <w:divsChild>
                    <w:div w:id="203407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775607">
          <w:marLeft w:val="0"/>
          <w:marRight w:val="0"/>
          <w:marTop w:val="0"/>
          <w:marBottom w:val="0"/>
          <w:divBdr>
            <w:top w:val="none" w:sz="0" w:space="0" w:color="auto"/>
            <w:left w:val="none" w:sz="0" w:space="0" w:color="auto"/>
            <w:bottom w:val="none" w:sz="0" w:space="0" w:color="auto"/>
            <w:right w:val="none" w:sz="0" w:space="0" w:color="auto"/>
          </w:divBdr>
          <w:divsChild>
            <w:div w:id="1148475346">
              <w:marLeft w:val="0"/>
              <w:marRight w:val="0"/>
              <w:marTop w:val="0"/>
              <w:marBottom w:val="0"/>
              <w:divBdr>
                <w:top w:val="none" w:sz="0" w:space="0" w:color="auto"/>
                <w:left w:val="none" w:sz="0" w:space="0" w:color="auto"/>
                <w:bottom w:val="none" w:sz="0" w:space="0" w:color="auto"/>
                <w:right w:val="none" w:sz="0" w:space="0" w:color="auto"/>
              </w:divBdr>
              <w:divsChild>
                <w:div w:id="770661087">
                  <w:marLeft w:val="0"/>
                  <w:marRight w:val="0"/>
                  <w:marTop w:val="0"/>
                  <w:marBottom w:val="0"/>
                  <w:divBdr>
                    <w:top w:val="none" w:sz="0" w:space="0" w:color="auto"/>
                    <w:left w:val="none" w:sz="0" w:space="0" w:color="auto"/>
                    <w:bottom w:val="none" w:sz="0" w:space="0" w:color="auto"/>
                    <w:right w:val="none" w:sz="0" w:space="0" w:color="auto"/>
                  </w:divBdr>
                  <w:divsChild>
                    <w:div w:id="1134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1825512">
          <w:marLeft w:val="0"/>
          <w:marRight w:val="0"/>
          <w:marTop w:val="0"/>
          <w:marBottom w:val="0"/>
          <w:divBdr>
            <w:top w:val="none" w:sz="0" w:space="0" w:color="auto"/>
            <w:left w:val="none" w:sz="0" w:space="0" w:color="auto"/>
            <w:bottom w:val="none" w:sz="0" w:space="0" w:color="auto"/>
            <w:right w:val="none" w:sz="0" w:space="0" w:color="auto"/>
          </w:divBdr>
          <w:divsChild>
            <w:div w:id="659117781">
              <w:marLeft w:val="0"/>
              <w:marRight w:val="0"/>
              <w:marTop w:val="0"/>
              <w:marBottom w:val="0"/>
              <w:divBdr>
                <w:top w:val="none" w:sz="0" w:space="0" w:color="auto"/>
                <w:left w:val="none" w:sz="0" w:space="0" w:color="auto"/>
                <w:bottom w:val="none" w:sz="0" w:space="0" w:color="auto"/>
                <w:right w:val="none" w:sz="0" w:space="0" w:color="auto"/>
              </w:divBdr>
              <w:divsChild>
                <w:div w:id="1531841154">
                  <w:marLeft w:val="0"/>
                  <w:marRight w:val="0"/>
                  <w:marTop w:val="0"/>
                  <w:marBottom w:val="0"/>
                  <w:divBdr>
                    <w:top w:val="none" w:sz="0" w:space="0" w:color="auto"/>
                    <w:left w:val="none" w:sz="0" w:space="0" w:color="auto"/>
                    <w:bottom w:val="none" w:sz="0" w:space="0" w:color="auto"/>
                    <w:right w:val="none" w:sz="0" w:space="0" w:color="auto"/>
                  </w:divBdr>
                  <w:divsChild>
                    <w:div w:id="165472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ng.com/ck/a?!&amp;&amp;p=b793829ceb996b85fbb3b6ff2d06754669c9f7f9b45b98f488eb2fa2ce7cc36aJmltdHM9MTc0MjQyODgwMA&amp;ptn=3&amp;ver=2&amp;hsh=4&amp;fclid=073df54e-9b47-6d4c-0fad-e0d39afc6c65&amp;psq=Int%c3%a9gration+inclusion&amp;u=a1aHR0cHM6Ly93d3cuYmxvZ2hvcHRveXMuZnIvZGlmZmVyZW5jZS1pbmNsdXNpb24taW50ZWdyYXRpb24&amp;ntb=1"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hs.cairn.info/publications-de-michel-wieviorka--5291?lang=fr"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bing.com/ck/a?!&amp;&amp;p=49fd2e9b6dfc0a54c304dd5448a11988706b21e9306d6fe1fb6f0ee5a208ad94JmltdHM9MTc0MjQyODgwMA&amp;ptn=3&amp;ver=2&amp;hsh=4&amp;fclid=073df54e-9b47-6d4c-0fad-e0d39afc6c65&amp;psq=Int%c3%a9gration+inclusion&amp;u=a1aHR0cHM6Ly9sZW1hcmNoZS5pbmNsdXNpb24uYmV0YS5nb3V2LmZyL3Jlc3NvdXJjZXMvcXVlc3QtY2UtcXVlLWxpbmNsdXNpb24v&amp;ntb=1" TargetMode="External"/><Relationship Id="rId4" Type="http://schemas.openxmlformats.org/officeDocument/2006/relationships/settings" Target="settings.xml"/><Relationship Id="rId9" Type="http://schemas.openxmlformats.org/officeDocument/2006/relationships/hyperlink" Target="https://www.bing.com/ck/a?!&amp;&amp;p=fe03811bf349c4bab24276235aa300fb80a2b3f2dafaddb517728da44ced911fJmltdHM9MTc0MjQyODgwMA&amp;ptn=3&amp;ver=2&amp;hsh=4&amp;fclid=073df54e-9b47-6d4c-0fad-e0d39afc6c65&amp;psq=Int%c3%a9gration+inclusion&amp;u=a1aHR0cHM6Ly91bXZpZS5jb20vaW50ZWdyYXRpb24tdnMtaW5jbHVzaW9uLWxlcy1kaXN0aW5jdGlvbnMtY3J1Y2lhbGVzLWEtY29ubmFpdHJlLw&amp;ntb=1"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shs.cairn.info/publications-de-michel-wieviorka--5291?lang=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2BB8D2-D6D4-4E04-B2B9-AB863F37D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5080</Words>
  <Characters>27945</Characters>
  <Application>Microsoft Office Word</Application>
  <DocSecurity>2</DocSecurity>
  <Lines>232</Lines>
  <Paragraphs>65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Yves Bruchon</dc:creator>
  <cp:keywords/>
  <dc:description/>
  <cp:lastModifiedBy>Yves Bruchon</cp:lastModifiedBy>
  <cp:revision>2</cp:revision>
  <cp:lastPrinted>2025-04-03T13:39:00Z</cp:lastPrinted>
  <dcterms:created xsi:type="dcterms:W3CDTF">2025-04-06T08:43:00Z</dcterms:created>
  <dcterms:modified xsi:type="dcterms:W3CDTF">2025-04-06T08:43:00Z</dcterms:modified>
</cp:coreProperties>
</file>